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
        <w:t>Created in the cloud with Saaspose.Words. http://saaspose.com</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Alabama, Restoration of Rights, Expungement &amp; Sealing </w:t>
      </w:r>
    </w:p>
    <w:p>
      <w:pPr>
        <w:pStyle w:val="toctitle"/>
        <w:spacing w:before="240" w:after="240"/>
        <w:rPr>
          <w:sz w:val="24"/>
          <w:szCs w:val="24"/>
        </w:rPr>
      </w:pPr>
      <w:r>
        <w:t>Topics</w:t>
      </w:r>
    </w:p>
    <w:p>
      <w:pPr>
        <w:numPr>
          <w:ilvl w:val="0"/>
          <w:numId w:val="1"/>
        </w:numPr>
        <w:spacing w:before="240"/>
        <w:ind w:left="720" w:hanging="210"/>
        <w:rPr>
          <w:sz w:val="24"/>
          <w:szCs w:val="24"/>
        </w:rPr>
      </w:pPr>
      <w:r>
        <w:fldChar w:fldCharType="begin"/>
      </w:r>
      <w:r>
        <w:instrText xml:space="preserve"> HYPERLINK \l "I_Restoration_of_Civil_RightsFirearms_Privileges" </w:instrText>
      </w:r>
      <w:r>
        <w:fldChar w:fldCharType="separate"/>
      </w:r>
      <w:r>
        <w:rPr>
          <w:color w:val="0000EE"/>
          <w:u w:val="single"/>
        </w:rPr>
        <w:t>I.  Restoration of Civil Rights/Firearms Privileges</w:t>
      </w:r>
      <w:r>
        <w:rPr>
          <w:color w:val="0000EE"/>
          <w:u w:val="single"/>
        </w:rPr>
        <w:fldChar w:fldCharType="end"/>
      </w:r>
    </w:p>
    <w:p>
      <w:pPr>
        <w:numPr>
          <w:ilvl w:val="1"/>
          <w:numId w:val="1"/>
        </w:numPr>
        <w:ind w:left="1440" w:hanging="244"/>
        <w:rPr>
          <w:sz w:val="24"/>
          <w:szCs w:val="24"/>
        </w:rPr>
      </w:pPr>
      <w:r>
        <w:fldChar w:fldCharType="begin"/>
      </w:r>
      <w:r>
        <w:instrText xml:space="preserve"> HYPERLINK \l "A_Voting" </w:instrText>
      </w:r>
      <w:r>
        <w:fldChar w:fldCharType="separate"/>
      </w:r>
      <w:r>
        <w:rPr>
          <w:color w:val="0000EE"/>
          <w:u w:val="single"/>
        </w:rPr>
        <w:t>A.  Voting</w:t>
      </w:r>
      <w:r>
        <w:rPr>
          <w:color w:val="0000EE"/>
          <w:u w:val="single"/>
        </w:rPr>
        <w:fldChar w:fldCharType="end"/>
      </w:r>
    </w:p>
    <w:p>
      <w:pPr>
        <w:numPr>
          <w:ilvl w:val="2"/>
          <w:numId w:val="1"/>
        </w:numPr>
        <w:ind w:left="2160" w:hanging="210"/>
        <w:rPr>
          <w:sz w:val="24"/>
          <w:szCs w:val="24"/>
        </w:rPr>
      </w:pPr>
      <w:r>
        <w:fldChar w:fldCharType="begin"/>
      </w:r>
      <w:r>
        <w:instrText xml:space="preserve"> HYPERLINK \l "Expedited_restoration_of_voting_rights" </w:instrText>
      </w:r>
      <w:r>
        <w:fldChar w:fldCharType="separate"/>
      </w:r>
      <w:r>
        <w:rPr>
          <w:color w:val="0000EE"/>
          <w:u w:val="single"/>
        </w:rPr>
        <w:t>Expedited restoration of voting rights</w:t>
      </w:r>
      <w:r>
        <w:rPr>
          <w:color w:val="0000EE"/>
          <w:u w:val="single"/>
        </w:rPr>
        <w:fldChar w:fldCharType="end"/>
      </w:r>
    </w:p>
    <w:p>
      <w:pPr>
        <w:numPr>
          <w:ilvl w:val="1"/>
          <w:numId w:val="1"/>
        </w:numPr>
        <w:ind w:left="1440" w:hanging="244"/>
        <w:rPr>
          <w:sz w:val="24"/>
          <w:szCs w:val="24"/>
        </w:rPr>
      </w:pPr>
      <w:r>
        <w:fldChar w:fldCharType="begin"/>
      </w:r>
      <w:r>
        <w:instrText xml:space="preserve"> HYPERLINK \l "B_OfficeJury" </w:instrText>
      </w:r>
      <w:r>
        <w:fldChar w:fldCharType="separate"/>
      </w:r>
      <w:r>
        <w:rPr>
          <w:color w:val="0000EE"/>
          <w:u w:val="single"/>
        </w:rPr>
        <w:t>B. Office/Jury</w:t>
      </w:r>
      <w:r>
        <w:rPr>
          <w:color w:val="0000EE"/>
          <w:u w:val="single"/>
        </w:rPr>
        <w:fldChar w:fldCharType="end"/>
      </w:r>
    </w:p>
    <w:p>
      <w:pPr>
        <w:numPr>
          <w:ilvl w:val="1"/>
          <w:numId w:val="1"/>
        </w:numPr>
        <w:ind w:left="1440" w:hanging="244"/>
        <w:rPr>
          <w:sz w:val="24"/>
          <w:szCs w:val="24"/>
        </w:rPr>
      </w:pPr>
      <w:r>
        <w:fldChar w:fldCharType="begin"/>
      </w:r>
      <w:r>
        <w:instrText xml:space="preserve"> HYPERLINK \l "C_Firearms" </w:instrText>
      </w:r>
      <w:r>
        <w:fldChar w:fldCharType="separate"/>
      </w:r>
      <w:r>
        <w:rPr>
          <w:color w:val="0000EE"/>
          <w:u w:val="single"/>
        </w:rPr>
        <w:t>C. Firearms</w:t>
      </w:r>
      <w:r>
        <w:rPr>
          <w:color w:val="0000EE"/>
          <w:u w:val="single"/>
        </w:rPr>
        <w:fldChar w:fldCharType="end"/>
      </w:r>
    </w:p>
    <w:p>
      <w:pPr>
        <w:numPr>
          <w:ilvl w:val="0"/>
          <w:numId w:val="1"/>
        </w:numPr>
        <w:ind w:left="720" w:hanging="210"/>
        <w:rPr>
          <w:sz w:val="24"/>
          <w:szCs w:val="24"/>
        </w:rPr>
      </w:pPr>
      <w:r>
        <w:fldChar w:fldCharType="begin"/>
      </w:r>
      <w:r>
        <w:instrText xml:space="preserve"> HYPERLINK \l "II_Discretionary_Restoration_Mechanisms" </w:instrText>
      </w:r>
      <w:r>
        <w:fldChar w:fldCharType="separate"/>
      </w:r>
      <w:r>
        <w:rPr>
          <w:color w:val="0000EE"/>
          <w:u w:val="single"/>
        </w:rPr>
        <w:t>II.  Discretionary Restoration Mechanisms</w:t>
      </w:r>
      <w:r>
        <w:rPr>
          <w:color w:val="0000EE"/>
          <w:u w:val="single"/>
        </w:rPr>
        <w:fldChar w:fldCharType="end"/>
      </w:r>
    </w:p>
    <w:p>
      <w:pPr>
        <w:numPr>
          <w:ilvl w:val="1"/>
          <w:numId w:val="2"/>
        </w:numPr>
        <w:ind w:left="1440" w:hanging="244"/>
        <w:rPr>
          <w:sz w:val="24"/>
          <w:szCs w:val="24"/>
        </w:rPr>
      </w:pPr>
      <w:r>
        <w:fldChar w:fldCharType="begin"/>
      </w:r>
      <w:r>
        <w:instrText xml:space="preserve"> HYPERLINK \l "A_Pardon" </w:instrText>
      </w:r>
      <w:r>
        <w:fldChar w:fldCharType="separate"/>
      </w:r>
      <w:r>
        <w:rPr>
          <w:color w:val="0000EE"/>
          <w:u w:val="single"/>
        </w:rPr>
        <w:t>A. Pardon</w:t>
      </w:r>
      <w:r>
        <w:rPr>
          <w:color w:val="0000EE"/>
          <w:u w:val="single"/>
        </w:rPr>
        <w:fldChar w:fldCharType="end"/>
      </w:r>
    </w:p>
    <w:p>
      <w:pPr>
        <w:numPr>
          <w:ilvl w:val="2"/>
          <w:numId w:val="2"/>
        </w:numPr>
        <w:ind w:left="2160" w:hanging="210"/>
        <w:rPr>
          <w:sz w:val="24"/>
          <w:szCs w:val="24"/>
        </w:rPr>
      </w:pPr>
      <w:r>
        <w:fldChar w:fldCharType="begin"/>
      </w:r>
      <w:r>
        <w:instrText xml:space="preserve"> HYPERLINK \l "Authority" </w:instrText>
      </w:r>
      <w:r>
        <w:fldChar w:fldCharType="separate"/>
      </w:r>
      <w:r>
        <w:rPr>
          <w:color w:val="0000EE"/>
          <w:u w:val="single"/>
        </w:rPr>
        <w:t>Authority</w:t>
      </w:r>
      <w:r>
        <w:rPr>
          <w:color w:val="0000EE"/>
          <w:u w:val="single"/>
        </w:rPr>
        <w:fldChar w:fldCharType="end"/>
      </w:r>
    </w:p>
    <w:p>
      <w:pPr>
        <w:numPr>
          <w:ilvl w:val="2"/>
          <w:numId w:val="2"/>
        </w:numPr>
        <w:ind w:left="2160" w:hanging="210"/>
        <w:rPr>
          <w:sz w:val="24"/>
          <w:szCs w:val="24"/>
        </w:rPr>
      </w:pPr>
      <w:r>
        <w:fldChar w:fldCharType="begin"/>
      </w:r>
      <w:r>
        <w:instrText xml:space="preserve"> HYPERLINK \l "Eligibility" </w:instrText>
      </w:r>
      <w:r>
        <w:fldChar w:fldCharType="separate"/>
      </w:r>
      <w:r>
        <w:rPr>
          <w:color w:val="0000EE"/>
          <w:u w:val="single"/>
        </w:rPr>
        <w:t>Eligibility</w:t>
      </w:r>
      <w:r>
        <w:rPr>
          <w:color w:val="0000EE"/>
          <w:u w:val="single"/>
        </w:rPr>
        <w:fldChar w:fldCharType="end"/>
      </w:r>
    </w:p>
    <w:p>
      <w:pPr>
        <w:numPr>
          <w:ilvl w:val="2"/>
          <w:numId w:val="2"/>
        </w:numPr>
        <w:ind w:left="2160" w:hanging="210"/>
        <w:rPr>
          <w:sz w:val="24"/>
          <w:szCs w:val="24"/>
        </w:rPr>
      </w:pPr>
      <w:r>
        <w:fldChar w:fldCharType="begin"/>
      </w:r>
      <w:r>
        <w:instrText xml:space="preserve"> HYPERLINK \l "Effect" </w:instrText>
      </w:r>
      <w:r>
        <w:fldChar w:fldCharType="separate"/>
      </w:r>
      <w:r>
        <w:rPr>
          <w:color w:val="0000EE"/>
          <w:u w:val="single"/>
        </w:rPr>
        <w:t>Effect</w:t>
      </w:r>
      <w:r>
        <w:rPr>
          <w:color w:val="0000EE"/>
          <w:u w:val="single"/>
        </w:rPr>
        <w:fldChar w:fldCharType="end"/>
      </w:r>
    </w:p>
    <w:p>
      <w:pPr>
        <w:numPr>
          <w:ilvl w:val="2"/>
          <w:numId w:val="2"/>
        </w:numPr>
        <w:ind w:left="2160" w:hanging="210"/>
        <w:rPr>
          <w:sz w:val="24"/>
          <w:szCs w:val="24"/>
        </w:rPr>
      </w:pPr>
      <w:r>
        <w:fldChar w:fldCharType="begin"/>
      </w:r>
      <w:r>
        <w:instrText xml:space="preserve"> HYPERLINK \l "Process" </w:instrText>
      </w:r>
      <w:r>
        <w:fldChar w:fldCharType="separate"/>
      </w:r>
      <w:r>
        <w:rPr>
          <w:color w:val="0000EE"/>
          <w:u w:val="single"/>
        </w:rPr>
        <w:t>Process</w:t>
      </w:r>
      <w:r>
        <w:rPr>
          <w:color w:val="0000EE"/>
          <w:u w:val="single"/>
        </w:rPr>
        <w:fldChar w:fldCharType="end"/>
      </w:r>
    </w:p>
    <w:p>
      <w:pPr>
        <w:numPr>
          <w:ilvl w:val="2"/>
          <w:numId w:val="2"/>
        </w:numPr>
        <w:ind w:left="2160" w:hanging="210"/>
        <w:rPr>
          <w:sz w:val="24"/>
          <w:szCs w:val="24"/>
        </w:rPr>
      </w:pPr>
      <w:r>
        <w:fldChar w:fldCharType="begin"/>
      </w:r>
      <w:r>
        <w:instrText xml:space="preserve"> HYPERLINK \l "Frequency_of_Grants" </w:instrText>
      </w:r>
      <w:r>
        <w:fldChar w:fldCharType="separate"/>
      </w:r>
      <w:r>
        <w:rPr>
          <w:color w:val="0000EE"/>
          <w:u w:val="single"/>
        </w:rPr>
        <w:t>Frequency of Grants</w:t>
      </w:r>
      <w:r>
        <w:rPr>
          <w:color w:val="0000EE"/>
          <w:u w:val="single"/>
        </w:rPr>
        <w:fldChar w:fldCharType="end"/>
      </w:r>
    </w:p>
    <w:p>
      <w:pPr>
        <w:numPr>
          <w:ilvl w:val="2"/>
          <w:numId w:val="2"/>
        </w:numPr>
        <w:ind w:left="2160" w:hanging="210"/>
        <w:rPr>
          <w:sz w:val="24"/>
          <w:szCs w:val="24"/>
        </w:rPr>
      </w:pPr>
      <w:r>
        <w:fldChar w:fldCharType="begin"/>
      </w:r>
      <w:r>
        <w:instrText xml:space="preserve"> HYPERLINK \l "Contact" </w:instrText>
      </w:r>
      <w:r>
        <w:fldChar w:fldCharType="separate"/>
      </w:r>
      <w:r>
        <w:rPr>
          <w:color w:val="0000EE"/>
          <w:u w:val="single"/>
        </w:rPr>
        <w:t>Contact</w:t>
      </w:r>
      <w:r>
        <w:rPr>
          <w:color w:val="0000EE"/>
          <w:u w:val="single"/>
        </w:rPr>
        <w:fldChar w:fldCharType="end"/>
      </w:r>
    </w:p>
    <w:p>
      <w:pPr>
        <w:numPr>
          <w:ilvl w:val="1"/>
          <w:numId w:val="2"/>
        </w:numPr>
        <w:ind w:left="1440" w:hanging="244"/>
        <w:rPr>
          <w:sz w:val="24"/>
          <w:szCs w:val="24"/>
        </w:rPr>
      </w:pPr>
      <w:r>
        <w:fldChar w:fldCharType="begin"/>
      </w:r>
      <w:r>
        <w:instrText xml:space="preserve"> HYPERLINK \l "B_Judicial_sealing_or_expungement" </w:instrText>
      </w:r>
      <w:r>
        <w:fldChar w:fldCharType="separate"/>
      </w:r>
      <w:r>
        <w:rPr>
          <w:color w:val="0000EE"/>
          <w:u w:val="single"/>
        </w:rPr>
        <w:t>B.  Judicial sealing or expungement</w:t>
      </w:r>
      <w:r>
        <w:rPr>
          <w:color w:val="0000EE"/>
          <w:u w:val="single"/>
        </w:rPr>
        <w:fldChar w:fldCharType="end"/>
      </w:r>
    </w:p>
    <w:p>
      <w:pPr>
        <w:numPr>
          <w:ilvl w:val="2"/>
          <w:numId w:val="3"/>
        </w:numPr>
        <w:ind w:left="2160" w:hanging="210"/>
        <w:rPr>
          <w:sz w:val="24"/>
          <w:szCs w:val="24"/>
        </w:rPr>
      </w:pPr>
      <w:r>
        <w:fldChar w:fldCharType="begin"/>
      </w:r>
      <w:r>
        <w:instrText xml:space="preserve"> HYPERLINK \l "Conviction_records" </w:instrText>
      </w:r>
      <w:r>
        <w:fldChar w:fldCharType="separate"/>
      </w:r>
      <w:r>
        <w:rPr>
          <w:color w:val="0000EE"/>
          <w:u w:val="single"/>
        </w:rPr>
        <w:t>Conviction records</w:t>
      </w:r>
      <w:r>
        <w:rPr>
          <w:color w:val="0000EE"/>
          <w:u w:val="single"/>
        </w:rPr>
        <w:fldChar w:fldCharType="end"/>
      </w:r>
    </w:p>
    <w:p>
      <w:pPr>
        <w:numPr>
          <w:ilvl w:val="2"/>
          <w:numId w:val="3"/>
        </w:numPr>
        <w:ind w:left="2160" w:hanging="210"/>
        <w:rPr>
          <w:sz w:val="24"/>
          <w:szCs w:val="24"/>
        </w:rPr>
      </w:pPr>
      <w:r>
        <w:fldChar w:fldCharType="begin"/>
      </w:r>
      <w:r>
        <w:instrText xml:space="preserve"> HYPERLINK \l "Nonconviction_records" </w:instrText>
      </w:r>
      <w:r>
        <w:fldChar w:fldCharType="separate"/>
      </w:r>
      <w:r>
        <w:rPr>
          <w:color w:val="0000EE"/>
          <w:u w:val="single"/>
        </w:rPr>
        <w:t>Nonconviction records</w:t>
      </w:r>
      <w:r>
        <w:rPr>
          <w:color w:val="0000EE"/>
          <w:u w:val="single"/>
        </w:rPr>
        <w:fldChar w:fldCharType="end"/>
      </w:r>
    </w:p>
    <w:p>
      <w:pPr>
        <w:numPr>
          <w:ilvl w:val="2"/>
          <w:numId w:val="3"/>
        </w:numPr>
        <w:ind w:left="2160" w:hanging="210"/>
        <w:rPr>
          <w:sz w:val="24"/>
          <w:szCs w:val="24"/>
        </w:rPr>
      </w:pPr>
      <w:r>
        <w:fldChar w:fldCharType="begin"/>
      </w:r>
      <w:r>
        <w:instrText xml:space="preserve"> HYPERLINK \l "Juvenile_delinquency_adjudications" </w:instrText>
      </w:r>
      <w:r>
        <w:fldChar w:fldCharType="separate"/>
      </w:r>
      <w:r>
        <w:rPr>
          <w:color w:val="0000EE"/>
          <w:u w:val="single"/>
        </w:rPr>
        <w:t>Juvenile delinquency adjudications</w:t>
      </w:r>
      <w:r>
        <w:rPr>
          <w:color w:val="0000EE"/>
          <w:u w:val="single"/>
        </w:rPr>
        <w:fldChar w:fldCharType="end"/>
      </w:r>
    </w:p>
    <w:p>
      <w:pPr>
        <w:numPr>
          <w:ilvl w:val="2"/>
          <w:numId w:val="3"/>
        </w:numPr>
        <w:ind w:left="2160" w:hanging="210"/>
        <w:rPr>
          <w:sz w:val="24"/>
          <w:szCs w:val="24"/>
        </w:rPr>
      </w:pPr>
      <w:r>
        <w:fldChar w:fldCharType="begin"/>
      </w:r>
      <w:r>
        <w:instrText xml:space="preserve"> HYPERLINK \l "Administrative_certificate" </w:instrText>
      </w:r>
      <w:r>
        <w:fldChar w:fldCharType="separate"/>
      </w:r>
      <w:r>
        <w:rPr>
          <w:color w:val="0000EE"/>
          <w:u w:val="single"/>
        </w:rPr>
        <w:t>Administrative certificate </w:t>
      </w:r>
      <w:r>
        <w:rPr>
          <w:color w:val="0000EE"/>
          <w:u w:val="single"/>
        </w:rPr>
        <w:fldChar w:fldCharType="end"/>
      </w:r>
    </w:p>
    <w:p>
      <w:pPr>
        <w:numPr>
          <w:ilvl w:val="0"/>
          <w:numId w:val="1"/>
        </w:numPr>
        <w:spacing w:after="240"/>
        <w:ind w:left="720" w:hanging="210"/>
        <w:rPr>
          <w:sz w:val="24"/>
          <w:szCs w:val="24"/>
        </w:rPr>
      </w:pPr>
      <w:r>
        <w:fldChar w:fldCharType="begin"/>
      </w:r>
      <w:r>
        <w:instrText xml:space="preserve"> HYPERLINK \l "III_Nondiscrimination_in_occupational_licensing_and_employment" </w:instrText>
      </w:r>
      <w:r>
        <w:fldChar w:fldCharType="separate"/>
      </w:r>
      <w:r>
        <w:rPr>
          <w:color w:val="0000EE"/>
          <w:u w:val="single"/>
        </w:rPr>
        <w:t>III.   Nondiscrimination in occupational licensing and employment</w:t>
      </w:r>
      <w:r>
        <w:rPr>
          <w:color w:val="0000EE"/>
          <w:u w:val="single"/>
        </w:rPr>
        <w:fldChar w:fldCharType="end"/>
      </w:r>
    </w:p>
    <w:p>
      <w:pPr>
        <w:spacing w:before="240" w:after="240"/>
        <w:jc w:val="center"/>
        <w:rPr>
          <w:sz w:val="24"/>
          <w:szCs w:val="24"/>
        </w:rPr>
      </w:pPr>
      <w:r>
        <w:rPr>
          <w:rFonts w:ascii="Arial" w:eastAsia="Arial" w:hAnsi="Arial" w:cs="Arial"/>
          <w:sz w:val="18"/>
          <w:szCs w:val="18"/>
        </w:rPr>
        <w:t> </w:t>
      </w:r>
      <w:r>
        <w:rPr>
          <w:rFonts w:ascii="Arial" w:eastAsia="Arial" w:hAnsi="Arial" w:cs="Arial"/>
          <w:i/>
          <w:iCs/>
          <w:sz w:val="18"/>
          <w:szCs w:val="18"/>
        </w:rPr>
        <w:t xml:space="preserve">This document is part of the </w:t>
      </w:r>
      <w:r>
        <w:rPr>
          <w:rFonts w:ascii="Arial" w:eastAsia="Arial" w:hAnsi="Arial" w:cs="Arial"/>
          <w:i/>
          <w:iCs/>
          <w:sz w:val="18"/>
          <w:szCs w:val="18"/>
        </w:rPr>
        <w:fldChar w:fldCharType="begin"/>
      </w:r>
      <w:r>
        <w:rPr>
          <w:rFonts w:ascii="Arial" w:eastAsia="Arial" w:hAnsi="Arial" w:cs="Arial"/>
          <w:i/>
          <w:iCs/>
          <w:sz w:val="18"/>
          <w:szCs w:val="18"/>
        </w:rPr>
        <w:instrText xml:space="preserve"> HYPERLINK "https://www.nacdl.org/rightsrestoration/" </w:instrText>
      </w:r>
      <w:r>
        <w:rPr>
          <w:rFonts w:ascii="Arial" w:eastAsia="Arial" w:hAnsi="Arial" w:cs="Arial"/>
          <w:i/>
          <w:iCs/>
          <w:sz w:val="18"/>
          <w:szCs w:val="18"/>
        </w:rPr>
        <w:fldChar w:fldCharType="separate"/>
      </w:r>
      <w:r>
        <w:rPr>
          <w:rFonts w:ascii="Arial" w:eastAsia="Arial" w:hAnsi="Arial" w:cs="Arial"/>
          <w:i/>
          <w:iCs/>
          <w:color w:val="0000EE"/>
          <w:sz w:val="18"/>
          <w:szCs w:val="18"/>
          <w:u w:val="single"/>
        </w:rPr>
        <w:t>NACDL Restoration of Rights Project</w:t>
      </w:r>
      <w:r>
        <w:rPr>
          <w:rFonts w:ascii="Arial" w:eastAsia="Arial" w:hAnsi="Arial" w:cs="Arial"/>
          <w:i/>
          <w:iCs/>
          <w:color w:val="0000EE"/>
          <w:sz w:val="18"/>
          <w:szCs w:val="18"/>
          <w:u w:val="single"/>
        </w:rPr>
        <w:fldChar w:fldCharType="end"/>
      </w:r>
      <w:r>
        <w:rPr>
          <w:rFonts w:ascii="Arial" w:eastAsia="Arial" w:hAnsi="Arial" w:cs="Arial"/>
          <w:i/>
          <w:iCs/>
          <w:sz w:val="18"/>
          <w:szCs w:val="18"/>
        </w:rPr>
        <w:t>.</w:t>
      </w:r>
    </w:p>
    <w:p>
      <w:pPr>
        <w:spacing w:before="240" w:after="240"/>
        <w:rPr>
          <w:sz w:val="24"/>
          <w:szCs w:val="24"/>
        </w:rPr>
      </w:pPr>
      <w:r>
        <w:t> </w:t>
      </w:r>
    </w:p>
    <w:p>
      <w:pPr>
        <w:spacing w:before="120" w:after="120"/>
        <w:ind w:left="15" w:right="15"/>
        <w:rPr>
          <w:color w:val="808080"/>
          <w:sz w:val="24"/>
          <w:szCs w:val="24"/>
        </w:rPr>
      </w:pPr>
      <w:r>
        <w:pict>
          <v:rect id="_x0000_i1025" style="height:1.5pt;width:468pt" o:hrpct="1000" o:hralign="center" o:hrstd="t" o:hr="t" filled="t" fillcolor="gray" stroked="f">
            <v:path strokeok="f"/>
          </v:rect>
        </w:pict>
      </w:r>
    </w:p>
    <w:p>
      <w:pPr>
        <w:spacing w:before="240" w:after="240"/>
        <w:rPr>
          <w:sz w:val="24"/>
          <w:szCs w:val="24"/>
        </w:rPr>
      </w:pPr>
      <w:r>
        <w:t> </w:t>
      </w:r>
      <w:r>
        <w:br/>
      </w:r>
      <w:r>
        <w:t> </w:t>
      </w:r>
    </w:p>
    <w:p>
      <w:pPr>
        <w:pStyle w:val="Heading4"/>
        <w:keepNext w:val="0"/>
        <w:spacing w:before="319" w:after="319"/>
        <w:outlineLvl w:val="9"/>
        <w:rPr>
          <w:b/>
          <w:bCs/>
          <w:sz w:val="24"/>
          <w:szCs w:val="24"/>
        </w:rPr>
      </w:pPr>
      <w:r>
        <w:rPr>
          <w:rFonts w:ascii="Arial" w:eastAsia="Arial" w:hAnsi="Arial" w:cs="Arial"/>
          <w:i w:val="0"/>
        </w:rPr>
        <w:t>I.  </w:t>
      </w:r>
      <w:r>
        <w:rPr>
          <w:rFonts w:ascii="Arial" w:eastAsia="Arial" w:hAnsi="Arial" w:cs="Arial"/>
          <w:i w:val="0"/>
        </w:rPr>
        <w:t>Restoration of Civil Rights/Firearms Privileges</w:t>
      </w:r>
    </w:p>
    <w:p>
      <w:pPr>
        <w:pStyle w:val="Heading5"/>
        <w:pBdr>
          <w:left w:val="none" w:sz="0" w:space="22" w:color="auto"/>
        </w:pBdr>
        <w:spacing w:before="333" w:after="333"/>
        <w:ind w:left="450"/>
        <w:outlineLvl w:val="9"/>
        <w:rPr>
          <w:b/>
          <w:bCs/>
          <w:sz w:val="20"/>
          <w:szCs w:val="20"/>
        </w:rPr>
      </w:pPr>
      <w:r>
        <w:rPr>
          <w:rFonts w:ascii="Arial" w:eastAsia="Arial" w:hAnsi="Arial" w:cs="Arial"/>
          <w:i w:val="0"/>
          <w:iCs w:val="0"/>
        </w:rPr>
        <w:t>A.  Voting</w:t>
      </w:r>
    </w:p>
    <w:p>
      <w:pPr>
        <w:pBdr>
          <w:left w:val="none" w:sz="0" w:space="31" w:color="auto"/>
        </w:pBdr>
        <w:spacing w:before="240" w:after="240"/>
        <w:ind w:left="900"/>
        <w:rPr>
          <w:sz w:val="24"/>
          <w:szCs w:val="24"/>
        </w:rPr>
      </w:pPr>
      <w:r>
        <w:rPr>
          <w:rFonts w:ascii="Arial" w:eastAsia="Arial" w:hAnsi="Arial" w:cs="Arial"/>
        </w:rPr>
        <w:t xml:space="preserve">A person convicted of “a felony involving moral turpitude, or who is mentally incompetent, shall [not] be qualified to vote until restoration of civil and political rights or removal of disability.” </w:t>
      </w:r>
      <w:r>
        <w:rPr>
          <w:rFonts w:ascii="Arial" w:eastAsia="Arial" w:hAnsi="Arial" w:cs="Arial"/>
        </w:rPr>
        <w:fldChar w:fldCharType="begin"/>
      </w:r>
      <w:r>
        <w:rPr>
          <w:rFonts w:ascii="Arial" w:eastAsia="Arial" w:hAnsi="Arial" w:cs="Arial"/>
        </w:rPr>
        <w:instrText xml:space="preserve"> HYPERLINK "http://law.justia.com/constitution/alabama/CA-245717.html" </w:instrText>
      </w:r>
      <w:r>
        <w:rPr>
          <w:rFonts w:ascii="Arial" w:eastAsia="Arial" w:hAnsi="Arial" w:cs="Arial"/>
        </w:rPr>
        <w:fldChar w:fldCharType="separate"/>
      </w:r>
      <w:r>
        <w:rPr>
          <w:rFonts w:ascii="Arial" w:eastAsia="Arial" w:hAnsi="Arial" w:cs="Arial"/>
          <w:color w:val="0000EE"/>
          <w:u w:val="single"/>
        </w:rPr>
        <w:t>Ala. Const. art. VIII, § 177</w:t>
      </w:r>
      <w:r>
        <w:rPr>
          <w:rFonts w:ascii="Arial" w:eastAsia="Arial" w:hAnsi="Arial" w:cs="Arial"/>
          <w:color w:val="0000EE"/>
          <w:u w:val="single"/>
        </w:rPr>
        <w:fldChar w:fldCharType="end"/>
      </w:r>
      <w:r>
        <w:rPr>
          <w:rFonts w:ascii="Arial" w:eastAsia="Arial" w:hAnsi="Arial" w:cs="Arial"/>
        </w:rPr>
        <w:t>.</w:t>
      </w:r>
      <w:r>
        <w:rPr>
          <w:rFonts w:ascii="Arial" w:eastAsia="Arial" w:hAnsi="Arial" w:cs="Arial"/>
        </w:rPr>
        <w:fldChar w:fldCharType="begin"/>
      </w:r>
      <w:r>
        <w:rPr>
          <w:rFonts w:ascii="Arial" w:eastAsia="Arial" w:hAnsi="Arial" w:cs="Arial"/>
        </w:rPr>
        <w:instrText xml:space="preserve"> HYPERLINK "http://ccresourcecenter.org/?post_type=tt_font_control&amp;p=1589" \l "easy-footnote-bottom-1" \o "Prior to its 1996 amendment, the Alabama constitution disenfranchised persons convicted of specified offenses, all felonies punishable by a term of imprisonment, and all “crimes of moral turpitude.”   Ala. Const. Art. VIII, § 182 (1996).  Section 182’s extension of disenfranchisement to misdemeanor crimes of “moral turpitude,” interpreted at that time to include drug possession and DUI, was held unconstitutional in &lt;em&gt;Hunter v. Underwood&lt;/em&gt;, 471 U.S. 222 (1985)." </w:instrText>
      </w:r>
      <w:r>
        <w:rPr>
          <w:rFonts w:ascii="Arial" w:eastAsia="Arial" w:hAnsi="Arial" w:cs="Arial"/>
        </w:rPr>
        <w:fldChar w:fldCharType="separate"/>
      </w:r>
      <w:r>
        <w:rPr>
          <w:rStyle w:val="easy-footnote"/>
          <w:rFonts w:ascii="Arial" w:eastAsia="Arial" w:hAnsi="Arial" w:cs="Arial"/>
          <w:color w:val="0000EE"/>
          <w:sz w:val="30"/>
          <w:szCs w:val="30"/>
          <w:u w:val="single"/>
          <w:vertAlign w:val="superscript"/>
        </w:rPr>
        <w:t>1</w:t>
      </w:r>
      <w:r>
        <w:rPr>
          <w:rStyle w:val="easy-footnote"/>
          <w:rFonts w:ascii="Arial" w:eastAsia="Arial" w:hAnsi="Arial" w:cs="Arial"/>
          <w:color w:val="0000EE"/>
          <w:sz w:val="30"/>
          <w:szCs w:val="30"/>
          <w:u w:val="single"/>
          <w:vertAlign w:val="superscript"/>
        </w:rPr>
        <w:fldChar w:fldCharType="end"/>
      </w:r>
      <w:r>
        <w:rPr>
          <w:rFonts w:ascii="Arial" w:eastAsia="Arial" w:hAnsi="Arial" w:cs="Arial"/>
        </w:rPr>
        <w:t>  There is no exhaustive list of disqualifying crimes; however, the Supreme Court of Alabama has from time to time identified felonies that are and are not disqualifying.</w:t>
      </w:r>
      <w:r>
        <w:rPr>
          <w:rFonts w:ascii="Arial" w:eastAsia="Arial" w:hAnsi="Arial" w:cs="Arial"/>
        </w:rPr>
        <w:fldChar w:fldCharType="begin"/>
      </w:r>
      <w:r>
        <w:rPr>
          <w:rFonts w:ascii="Arial" w:eastAsia="Arial" w:hAnsi="Arial" w:cs="Arial"/>
        </w:rPr>
        <w:instrText xml:space="preserve"> HYPERLINK "http://ccresourcecenter.org/?post_type=tt_font_control&amp;p=1589" \l "easy-footnote-bottom-2" \o " According to a 2005 opinion of the Alabama Attorney General, assault, felony drug possession and felony DUI are not regarded as crimes of “moral turpitude.” &lt;em&gt;See&lt;/em&gt; Ala. Op. Atty. Gen. No. 2005-092 (March 18, 2005), 2005 WL 1121853 (Ala. A.G.)  This opinion was issued in response to a request from the Board of Pardons and Paroles for a list of disqualifying offenses, and cites a number of cases in which the Supreme Court of Alabama has held that murder, rape, burglary, robbery, income tax evasion, conspiracy to commit fraud, possession of marijuana for resale, theft, transporting stolen vehicles, unauthorized sale of a controlled substance, and bigamy are all crimes involving moral turpitude.  On the other hand, assault, doing business without a license, violation of liquor laws, aiding prisoner to escape, possession of marijuana, and driving under the influence, are not.  Notwithstanding this opinion, Alabama’s Secretary of State continued to take the position that conviction of any felony prohibited voting, and so directed country registrars.  On June 1, 2007, in response to a lawsuit filed by the ACLU challenging this interpretation and application of § 177, the Supreme Court of Alabama held that while state and local election officials had acted contrary to the State Constitution and laws, no further injunctive relief was necessary.  &lt;em&gt;See Chapman v. Gooden&lt;/em&gt;, 974 So. 2d 972 (Ala. 2007)" </w:instrText>
      </w:r>
      <w:r>
        <w:rPr>
          <w:rFonts w:ascii="Arial" w:eastAsia="Arial" w:hAnsi="Arial" w:cs="Arial"/>
        </w:rPr>
        <w:fldChar w:fldCharType="separate"/>
      </w:r>
      <w:r>
        <w:rPr>
          <w:rStyle w:val="easy-footnote"/>
          <w:rFonts w:ascii="Arial" w:eastAsia="Arial" w:hAnsi="Arial" w:cs="Arial"/>
          <w:color w:val="0000EE"/>
          <w:sz w:val="30"/>
          <w:szCs w:val="30"/>
          <w:u w:val="single"/>
          <w:vertAlign w:val="superscript"/>
        </w:rPr>
        <w:t>2</w:t>
      </w:r>
      <w:r>
        <w:rPr>
          <w:rStyle w:val="easy-footnote"/>
          <w:rFonts w:ascii="Arial" w:eastAsia="Arial" w:hAnsi="Arial" w:cs="Arial"/>
          <w:color w:val="0000EE"/>
          <w:sz w:val="30"/>
          <w:szCs w:val="30"/>
          <w:u w:val="single"/>
          <w:vertAlign w:val="superscript"/>
        </w:rPr>
        <w:fldChar w:fldCharType="end"/>
      </w:r>
    </w:p>
    <w:p>
      <w:pPr>
        <w:pStyle w:val="Heading6"/>
        <w:pBdr>
          <w:left w:val="none" w:sz="0" w:space="31" w:color="auto"/>
        </w:pBdr>
        <w:spacing w:before="375" w:after="375"/>
        <w:ind w:left="900"/>
        <w:outlineLvl w:val="9"/>
        <w:rPr>
          <w:b/>
          <w:bCs/>
          <w:sz w:val="16"/>
          <w:szCs w:val="16"/>
        </w:rPr>
      </w:pPr>
      <w:r>
        <w:rPr>
          <w:rFonts w:ascii="Arial" w:eastAsia="Arial" w:hAnsi="Arial" w:cs="Arial"/>
          <w:i/>
          <w:iCs/>
        </w:rPr>
        <w:t>Expedited restoration of voting rights</w:t>
      </w:r>
    </w:p>
    <w:p>
      <w:pPr>
        <w:pBdr>
          <w:left w:val="none" w:sz="0" w:space="31" w:color="auto"/>
        </w:pBdr>
        <w:spacing w:before="240" w:after="240"/>
        <w:ind w:left="1350"/>
        <w:rPr>
          <w:sz w:val="24"/>
          <w:szCs w:val="24"/>
        </w:rPr>
      </w:pPr>
      <w:r>
        <w:rPr>
          <w:rFonts w:ascii="Arial" w:eastAsia="Arial" w:hAnsi="Arial" w:cs="Arial"/>
        </w:rPr>
        <w:t xml:space="preserve">A 2003 statute requires the Board of Pardons and Parole to issue a “certificate of eligibility to register to vote” to all persons convicted of disqualifying offenses (except those convicted of serious violent offenses and sex offenses) if they have completed their sentence and paid all fines, restitution and court costs, and have no charges pending against them.  </w:t>
      </w:r>
      <w:r>
        <w:rPr>
          <w:rFonts w:ascii="Arial" w:eastAsia="Arial" w:hAnsi="Arial" w:cs="Arial"/>
        </w:rPr>
        <w:fldChar w:fldCharType="begin"/>
      </w:r>
      <w:r>
        <w:rPr>
          <w:rFonts w:ascii="Arial" w:eastAsia="Arial" w:hAnsi="Arial" w:cs="Arial"/>
        </w:rPr>
        <w:instrText xml:space="preserve"> HYPERLINK "http://law.justia.com/codes/alabama/2006/14214/15-22-36.html" </w:instrText>
      </w:r>
      <w:r>
        <w:rPr>
          <w:rFonts w:ascii="Arial" w:eastAsia="Arial" w:hAnsi="Arial" w:cs="Arial"/>
        </w:rPr>
        <w:fldChar w:fldCharType="separate"/>
      </w:r>
      <w:r>
        <w:rPr>
          <w:rFonts w:ascii="Arial" w:eastAsia="Arial" w:hAnsi="Arial" w:cs="Arial"/>
          <w:color w:val="0000EE"/>
          <w:u w:val="single"/>
        </w:rPr>
        <w:t>Ala. Code § 15-22-36.1</w:t>
      </w:r>
      <w:r>
        <w:rPr>
          <w:rFonts w:ascii="Arial" w:eastAsia="Arial" w:hAnsi="Arial" w:cs="Arial"/>
          <w:color w:val="0000EE"/>
          <w:u w:val="single"/>
        </w:rPr>
        <w:fldChar w:fldCharType="end"/>
      </w:r>
      <w:r>
        <w:rPr>
          <w:rFonts w:ascii="Arial" w:eastAsia="Arial" w:hAnsi="Arial" w:cs="Arial"/>
        </w:rPr>
        <w:t xml:space="preserve">.  Restoration is automatic upon determination of eligibility.  Persons convicted of murder and sex offenses must still apply to Board for a pardon. </w:t>
      </w:r>
      <w:r>
        <w:rPr>
          <w:rFonts w:ascii="Arial" w:eastAsia="Arial" w:hAnsi="Arial" w:cs="Arial"/>
          <w:i/>
          <w:iCs/>
        </w:rPr>
        <w:t> Id.</w:t>
      </w:r>
      <w:r>
        <w:rPr>
          <w:rFonts w:ascii="Arial" w:eastAsia="Arial" w:hAnsi="Arial" w:cs="Arial"/>
        </w:rPr>
        <w:t xml:space="preserve"> (See discussion in Part IIA below).  Federal and out-of-state offenders are eligible to apply for restoration of rights. Because of the uncertainty over which convictions are disqualifying, the Board now accepts applications from all convicted persons.</w:t>
      </w:r>
    </w:p>
    <w:p>
      <w:pPr>
        <w:pStyle w:val="Heading5"/>
        <w:pBdr>
          <w:left w:val="none" w:sz="0" w:space="22" w:color="auto"/>
        </w:pBdr>
        <w:spacing w:before="333" w:after="333"/>
        <w:ind w:left="450"/>
        <w:outlineLvl w:val="9"/>
        <w:rPr>
          <w:b/>
          <w:bCs/>
          <w:sz w:val="20"/>
          <w:szCs w:val="20"/>
        </w:rPr>
      </w:pPr>
      <w:r>
        <w:rPr>
          <w:rFonts w:ascii="Arial" w:eastAsia="Arial" w:hAnsi="Arial" w:cs="Arial"/>
          <w:i w:val="0"/>
          <w:iCs w:val="0"/>
        </w:rPr>
        <w:t>B. Office/Jury</w:t>
      </w:r>
    </w:p>
    <w:p>
      <w:pPr>
        <w:pBdr>
          <w:left w:val="none" w:sz="0" w:space="31" w:color="auto"/>
        </w:pBdr>
        <w:spacing w:before="240" w:after="240"/>
        <w:ind w:left="900"/>
        <w:rPr>
          <w:sz w:val="24"/>
          <w:szCs w:val="24"/>
        </w:rPr>
      </w:pPr>
      <w:r>
        <w:rPr>
          <w:rFonts w:ascii="Arial" w:eastAsia="Arial" w:hAnsi="Arial" w:cs="Arial"/>
        </w:rPr>
        <w:t xml:space="preserve">Someone who is not a qualified elector is “ineligible to and disqualified from holding” state office. </w:t>
      </w:r>
      <w:r>
        <w:rPr>
          <w:rFonts w:ascii="Arial" w:eastAsia="Arial" w:hAnsi="Arial" w:cs="Arial"/>
        </w:rPr>
        <w:fldChar w:fldCharType="begin"/>
      </w:r>
      <w:r>
        <w:rPr>
          <w:rFonts w:ascii="Arial" w:eastAsia="Arial" w:hAnsi="Arial" w:cs="Arial"/>
        </w:rPr>
        <w:instrText xml:space="preserve"> HYPERLINK "http://law.justia.com/codes/alabama/2015/title-36/chapter-2/section-36-2-1/" </w:instrText>
      </w:r>
      <w:r>
        <w:rPr>
          <w:rFonts w:ascii="Arial" w:eastAsia="Arial" w:hAnsi="Arial" w:cs="Arial"/>
        </w:rPr>
        <w:fldChar w:fldCharType="separate"/>
      </w:r>
      <w:r>
        <w:rPr>
          <w:rFonts w:ascii="Arial" w:eastAsia="Arial" w:hAnsi="Arial" w:cs="Arial"/>
          <w:color w:val="0000EE"/>
          <w:u w:val="single"/>
        </w:rPr>
        <w:t> Ala. Code § 36-2-1</w:t>
      </w:r>
      <w:r>
        <w:rPr>
          <w:rFonts w:ascii="Arial" w:eastAsia="Arial" w:hAnsi="Arial" w:cs="Arial"/>
          <w:color w:val="0000EE"/>
          <w:u w:val="single"/>
        </w:rPr>
        <w:fldChar w:fldCharType="end"/>
      </w:r>
      <w:r>
        <w:rPr>
          <w:rFonts w:ascii="Arial" w:eastAsia="Arial" w:hAnsi="Arial" w:cs="Arial"/>
        </w:rPr>
        <w:t xml:space="preserve">; </w:t>
      </w:r>
      <w:r>
        <w:rPr>
          <w:rFonts w:ascii="Arial" w:eastAsia="Arial" w:hAnsi="Arial" w:cs="Arial"/>
          <w:i/>
          <w:iCs/>
        </w:rPr>
        <w:t>see</w:t>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HYPERLINK "http://law.justia.com/codes/alabama/2006/14214/15-22-36.html" </w:instrText>
      </w:r>
      <w:r>
        <w:rPr>
          <w:rFonts w:ascii="Arial" w:eastAsia="Arial" w:hAnsi="Arial" w:cs="Arial"/>
        </w:rPr>
        <w:fldChar w:fldCharType="separate"/>
      </w:r>
      <w:r>
        <w:rPr>
          <w:rFonts w:ascii="Arial" w:eastAsia="Arial" w:hAnsi="Arial" w:cs="Arial"/>
          <w:color w:val="0000EE"/>
          <w:u w:val="single"/>
        </w:rPr>
        <w:t>Ala. Code § 15-22-36.1</w:t>
      </w:r>
      <w:r>
        <w:rPr>
          <w:rFonts w:ascii="Arial" w:eastAsia="Arial" w:hAnsi="Arial" w:cs="Arial"/>
          <w:color w:val="0000EE"/>
          <w:u w:val="single"/>
        </w:rPr>
        <w:fldChar w:fldCharType="end"/>
      </w:r>
      <w:r>
        <w:rPr>
          <w:rFonts w:ascii="Arial" w:eastAsia="Arial" w:hAnsi="Arial" w:cs="Arial"/>
        </w:rPr>
        <w:t xml:space="preserve">(a)(1), (3). A person is not “qualified” to sit on a jury if she has “lost the right to vote by conviction for any offense involving moral turpitude.”  </w:t>
      </w:r>
      <w:r>
        <w:rPr>
          <w:rFonts w:ascii="Arial" w:eastAsia="Arial" w:hAnsi="Arial" w:cs="Arial"/>
        </w:rPr>
        <w:fldChar w:fldCharType="begin"/>
      </w:r>
      <w:r>
        <w:rPr>
          <w:rFonts w:ascii="Arial" w:eastAsia="Arial" w:hAnsi="Arial" w:cs="Arial"/>
        </w:rPr>
        <w:instrText xml:space="preserve"> HYPERLINK "http://law.justia.com/codes/alabama/2015/title-12/chapter-16/article-2a/" </w:instrText>
      </w:r>
      <w:r>
        <w:rPr>
          <w:rFonts w:ascii="Arial" w:eastAsia="Arial" w:hAnsi="Arial" w:cs="Arial"/>
        </w:rPr>
        <w:fldChar w:fldCharType="separate"/>
      </w:r>
      <w:r>
        <w:rPr>
          <w:rFonts w:ascii="Arial" w:eastAsia="Arial" w:hAnsi="Arial" w:cs="Arial"/>
          <w:color w:val="0000EE"/>
          <w:u w:val="single"/>
        </w:rPr>
        <w:t>Ala. Code § 12-16-60(a)(4)</w:t>
      </w:r>
      <w:r>
        <w:rPr>
          <w:rFonts w:ascii="Arial" w:eastAsia="Arial" w:hAnsi="Arial" w:cs="Arial"/>
          <w:color w:val="0000EE"/>
          <w:u w:val="single"/>
        </w:rPr>
        <w:fldChar w:fldCharType="end"/>
      </w:r>
      <w:r>
        <w:rPr>
          <w:rFonts w:ascii="Arial" w:eastAsia="Arial" w:hAnsi="Arial" w:cs="Arial"/>
        </w:rPr>
        <w:t>.  If lost, these civil rights may be restored only through a pardon from Board of Pardons and Parole. (Expedited procedure for restoration of voting rights does not apply.)</w:t>
      </w:r>
    </w:p>
    <w:p>
      <w:pPr>
        <w:pStyle w:val="Heading5"/>
        <w:pBdr>
          <w:left w:val="none" w:sz="0" w:space="22" w:color="auto"/>
        </w:pBdr>
        <w:spacing w:before="333" w:after="333"/>
        <w:ind w:left="450"/>
        <w:outlineLvl w:val="9"/>
        <w:rPr>
          <w:b/>
          <w:bCs/>
          <w:sz w:val="20"/>
          <w:szCs w:val="20"/>
        </w:rPr>
      </w:pPr>
      <w:r>
        <w:rPr>
          <w:rFonts w:ascii="Arial" w:eastAsia="Arial" w:hAnsi="Arial" w:cs="Arial"/>
          <w:i w:val="0"/>
          <w:iCs w:val="0"/>
        </w:rPr>
        <w:t>C.</w:t>
      </w:r>
      <w:r>
        <w:rPr>
          <w:rFonts w:ascii="Arial" w:eastAsia="Arial" w:hAnsi="Arial" w:cs="Arial"/>
          <w:i w:val="0"/>
          <w:iCs w:val="0"/>
        </w:rPr>
        <w:t xml:space="preserve"> </w:t>
      </w:r>
      <w:r>
        <w:rPr>
          <w:rFonts w:ascii="Arial" w:eastAsia="Arial" w:hAnsi="Arial" w:cs="Arial"/>
          <w:i w:val="0"/>
          <w:iCs w:val="0"/>
        </w:rPr>
        <w:t>Firearms</w:t>
      </w:r>
    </w:p>
    <w:p>
      <w:pPr>
        <w:pBdr>
          <w:left w:val="none" w:sz="0" w:space="31" w:color="auto"/>
        </w:pBdr>
        <w:spacing w:before="240" w:after="240"/>
        <w:ind w:left="900"/>
        <w:rPr>
          <w:sz w:val="24"/>
          <w:szCs w:val="24"/>
        </w:rPr>
      </w:pPr>
      <w:r>
        <w:rPr>
          <w:rFonts w:ascii="Arial" w:eastAsia="Arial" w:hAnsi="Arial" w:cs="Arial"/>
        </w:rPr>
        <w:t xml:space="preserve">Any person convicted in any jurisdiction of committing a “crime of violence” may not own, possess or exercise control over “a pistol,” meaning a firearm with a barrel of less than 12 inches in length. </w:t>
      </w:r>
      <w:r>
        <w:rPr>
          <w:rFonts w:ascii="Arial" w:eastAsia="Arial" w:hAnsi="Arial" w:cs="Arial"/>
          <w:i/>
          <w:iCs/>
        </w:rPr>
        <w:t>See</w:t>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HYPERLINK "http://law.justia.com/codes/alabama/2015/title-13a/chapter-11/article-3/division-2/" </w:instrText>
      </w:r>
      <w:r>
        <w:rPr>
          <w:rFonts w:ascii="Arial" w:eastAsia="Arial" w:hAnsi="Arial" w:cs="Arial"/>
        </w:rPr>
        <w:fldChar w:fldCharType="separate"/>
      </w:r>
      <w:r>
        <w:rPr>
          <w:rFonts w:ascii="Arial" w:eastAsia="Arial" w:hAnsi="Arial" w:cs="Arial"/>
          <w:color w:val="0000EE"/>
          <w:u w:val="single"/>
        </w:rPr>
        <w:t>Ala. Code. §§ 13A-11-70</w:t>
      </w:r>
      <w:r>
        <w:rPr>
          <w:rFonts w:ascii="Arial" w:eastAsia="Arial" w:hAnsi="Arial" w:cs="Arial"/>
          <w:color w:val="0000EE"/>
          <w:u w:val="single"/>
        </w:rPr>
        <w:fldChar w:fldCharType="end"/>
      </w:r>
      <w:r>
        <w:rPr>
          <w:rFonts w:ascii="Arial" w:eastAsia="Arial" w:hAnsi="Arial" w:cs="Arial"/>
        </w:rPr>
        <w:t xml:space="preserve">(1), </w:t>
      </w:r>
      <w:r>
        <w:rPr>
          <w:rFonts w:ascii="Arial" w:eastAsia="Arial" w:hAnsi="Arial" w:cs="Arial"/>
        </w:rPr>
        <w:fldChar w:fldCharType="begin"/>
      </w:r>
      <w:r>
        <w:rPr>
          <w:rFonts w:ascii="Arial" w:eastAsia="Arial" w:hAnsi="Arial" w:cs="Arial"/>
        </w:rPr>
        <w:instrText xml:space="preserve"> HYPERLINK "http://law.justia.com/codes/alabama/2015/title-13a/chapter-11/article-3/division-2/" </w:instrText>
      </w:r>
      <w:r>
        <w:rPr>
          <w:rFonts w:ascii="Arial" w:eastAsia="Arial" w:hAnsi="Arial" w:cs="Arial"/>
        </w:rPr>
        <w:fldChar w:fldCharType="separate"/>
      </w:r>
      <w:r>
        <w:rPr>
          <w:rFonts w:ascii="Arial" w:eastAsia="Arial" w:hAnsi="Arial" w:cs="Arial"/>
          <w:color w:val="0000EE"/>
          <w:u w:val="single"/>
        </w:rPr>
        <w:t>13A-11-72</w:t>
      </w:r>
      <w:r>
        <w:rPr>
          <w:rFonts w:ascii="Arial" w:eastAsia="Arial" w:hAnsi="Arial" w:cs="Arial"/>
          <w:color w:val="0000EE"/>
          <w:u w:val="single"/>
        </w:rPr>
        <w:fldChar w:fldCharType="end"/>
      </w:r>
      <w:r>
        <w:rPr>
          <w:rFonts w:ascii="Arial" w:eastAsia="Arial" w:hAnsi="Arial" w:cs="Arial"/>
        </w:rPr>
        <w:t xml:space="preserve">.  Restoration by pardon, unless restoration specifically withheld. </w:t>
      </w:r>
      <w:r>
        <w:rPr>
          <w:rFonts w:ascii="Arial" w:eastAsia="Arial" w:hAnsi="Arial" w:cs="Arial"/>
          <w:i/>
          <w:iCs/>
        </w:rPr>
        <w:t> State ex rel. Sokira v. Burr</w:t>
      </w:r>
      <w:r>
        <w:rPr>
          <w:rFonts w:ascii="Arial" w:eastAsia="Arial" w:hAnsi="Arial" w:cs="Arial"/>
        </w:rPr>
        <w:t>, 580 So. 2d 1340, 1345 (Ala. 1991).</w:t>
      </w:r>
    </w:p>
    <w:p>
      <w:pPr>
        <w:spacing w:before="240" w:after="240"/>
        <w:rPr>
          <w:sz w:val="24"/>
          <w:szCs w:val="24"/>
        </w:rPr>
      </w:pPr>
      <w:r>
        <w:t> </w:t>
      </w:r>
    </w:p>
    <w:p>
      <w:pPr>
        <w:spacing w:before="240" w:after="240"/>
        <w:rPr>
          <w:sz w:val="24"/>
          <w:szCs w:val="24"/>
        </w:rPr>
      </w:pPr>
      <w:r>
        <w:t> </w:t>
      </w:r>
    </w:p>
    <w:p>
      <w:pPr>
        <w:pStyle w:val="Heading4"/>
        <w:keepNext w:val="0"/>
        <w:spacing w:before="319" w:after="319"/>
        <w:outlineLvl w:val="9"/>
        <w:rPr>
          <w:b/>
          <w:bCs/>
          <w:sz w:val="24"/>
          <w:szCs w:val="24"/>
        </w:rPr>
      </w:pPr>
      <w:r>
        <w:rPr>
          <w:rFonts w:ascii="Arial" w:eastAsia="Arial" w:hAnsi="Arial" w:cs="Arial"/>
          <w:i w:val="0"/>
        </w:rPr>
        <w:t>II.  Discretionary Restoration Mechanisms</w:t>
      </w:r>
    </w:p>
    <w:p>
      <w:pPr>
        <w:spacing w:before="240" w:after="240"/>
        <w:rPr>
          <w:sz w:val="24"/>
          <w:szCs w:val="24"/>
        </w:rPr>
      </w:pPr>
      <w:r>
        <w:t> </w:t>
      </w:r>
    </w:p>
    <w:p>
      <w:pPr>
        <w:pStyle w:val="Heading5"/>
        <w:pBdr>
          <w:left w:val="none" w:sz="0" w:space="22" w:color="auto"/>
        </w:pBdr>
        <w:spacing w:before="333" w:after="333"/>
        <w:ind w:left="450"/>
        <w:outlineLvl w:val="9"/>
        <w:rPr>
          <w:b/>
          <w:bCs/>
          <w:sz w:val="20"/>
          <w:szCs w:val="20"/>
        </w:rPr>
      </w:pPr>
      <w:r>
        <w:rPr>
          <w:rFonts w:ascii="Arial" w:eastAsia="Arial" w:hAnsi="Arial" w:cs="Arial"/>
          <w:i w:val="0"/>
          <w:iCs w:val="0"/>
        </w:rPr>
        <w:t>A. Pardon</w:t>
      </w:r>
    </w:p>
    <w:p>
      <w:pPr>
        <w:pStyle w:val="Heading6"/>
        <w:pBdr>
          <w:left w:val="none" w:sz="0" w:space="31" w:color="auto"/>
        </w:pBdr>
        <w:spacing w:before="375" w:after="375"/>
        <w:ind w:left="900"/>
        <w:outlineLvl w:val="9"/>
        <w:rPr>
          <w:b/>
          <w:bCs/>
          <w:sz w:val="16"/>
          <w:szCs w:val="16"/>
        </w:rPr>
      </w:pPr>
      <w:r>
        <w:rPr>
          <w:rFonts w:ascii="Arial" w:eastAsia="Arial" w:hAnsi="Arial" w:cs="Arial"/>
          <w:i/>
          <w:iCs/>
          <w:sz w:val="15"/>
          <w:szCs w:val="15"/>
        </w:rPr>
        <w:t>Authority</w:t>
      </w:r>
    </w:p>
    <w:p>
      <w:pPr>
        <w:pBdr>
          <w:left w:val="none" w:sz="0" w:space="31" w:color="auto"/>
        </w:pBdr>
        <w:spacing w:before="240" w:after="240"/>
        <w:ind w:left="1350"/>
        <w:rPr>
          <w:sz w:val="24"/>
          <w:szCs w:val="24"/>
        </w:rPr>
      </w:pPr>
      <w:r>
        <w:rPr>
          <w:rFonts w:ascii="Arial" w:eastAsia="Arial" w:hAnsi="Arial" w:cs="Arial"/>
        </w:rPr>
        <w:t xml:space="preserve">In 1939, the Alabama legislature was granted the pardon power by an amendment to the state constitution. It created the Board of Pardons and Parole to exercise the power, which extends to all offenses save treason and impeachment.  Const. amend. 38 (amending art. V § 124). The Governor retains reprieve and commutation authority in capital cases. The Board’s administration and procedure is governed by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Ala. Code §§ 15-22-20</w:t>
      </w:r>
      <w:r>
        <w:rPr>
          <w:rFonts w:ascii="Arial" w:eastAsia="Arial" w:hAnsi="Arial" w:cs="Arial"/>
          <w:color w:val="0000EE"/>
          <w:u w:val="single"/>
        </w:rPr>
        <w:fldChar w:fldCharType="end"/>
      </w:r>
      <w:r>
        <w:rPr>
          <w:rFonts w:ascii="Arial" w:eastAsia="Arial" w:hAnsi="Arial" w:cs="Arial"/>
        </w:rPr>
        <w:t xml:space="preserve"> through 15-22-40.   Mayors have authority to pardon violations of municipal ordinances. </w:t>
      </w:r>
      <w:r>
        <w:rPr>
          <w:rFonts w:ascii="Arial" w:eastAsia="Arial" w:hAnsi="Arial" w:cs="Arial"/>
        </w:rPr>
        <w:fldChar w:fldCharType="begin"/>
      </w:r>
      <w:r>
        <w:rPr>
          <w:rFonts w:ascii="Arial" w:eastAsia="Arial" w:hAnsi="Arial" w:cs="Arial"/>
        </w:rPr>
        <w:instrText xml:space="preserve"> HYPERLINK "http://ccresourcecenter.org/?post_type=tt_font_control&amp;p=1589" \l "easy-footnote-bottom-3" \o "In August 2009 the Mayor of Birmingham issued a blanket pardon to all those arrested there during civil rights protects of the 1960s.  &lt;em&gt;See&lt;/em&gt; &lt;a href="http://blog.al.com/live/2009/08/birminghams_mayor_langford_iss.html"&gt;http://blog.al.com/live/2009/08/birminghams_mayor_langford_iss.html&lt;/a&gt;" </w:instrText>
      </w:r>
      <w:r>
        <w:rPr>
          <w:rFonts w:ascii="Arial" w:eastAsia="Arial" w:hAnsi="Arial" w:cs="Arial"/>
        </w:rPr>
        <w:fldChar w:fldCharType="separate"/>
      </w:r>
      <w:r>
        <w:rPr>
          <w:rStyle w:val="easy-footnote"/>
          <w:rFonts w:ascii="Arial" w:eastAsia="Arial" w:hAnsi="Arial" w:cs="Arial"/>
          <w:color w:val="0000EE"/>
          <w:sz w:val="30"/>
          <w:szCs w:val="30"/>
          <w:u w:val="single"/>
          <w:vertAlign w:val="superscript"/>
        </w:rPr>
        <w:t>3</w:t>
      </w:r>
      <w:r>
        <w:rPr>
          <w:rStyle w:val="easy-footnote"/>
          <w:rFonts w:ascii="Arial" w:eastAsia="Arial" w:hAnsi="Arial" w:cs="Arial"/>
          <w:color w:val="0000EE"/>
          <w:sz w:val="30"/>
          <w:szCs w:val="30"/>
          <w:u w:val="single"/>
          <w:vertAlign w:val="superscript"/>
        </w:rPr>
        <w:fldChar w:fldCharType="end"/>
      </w:r>
    </w:p>
    <w:p>
      <w:pPr>
        <w:pBdr>
          <w:left w:val="none" w:sz="0" w:space="31" w:color="auto"/>
        </w:pBdr>
        <w:spacing w:before="240" w:after="240"/>
        <w:ind w:left="1350"/>
        <w:rPr>
          <w:sz w:val="24"/>
          <w:szCs w:val="24"/>
        </w:rPr>
      </w:pPr>
      <w:r>
        <w:rPr>
          <w:rFonts w:ascii="Arial" w:eastAsia="Arial" w:hAnsi="Arial" w:cs="Arial"/>
          <w:u w:val="single"/>
        </w:rPr>
        <w:t>Composition of Board</w:t>
      </w:r>
      <w:r>
        <w:rPr>
          <w:rFonts w:ascii="Arial" w:eastAsia="Arial" w:hAnsi="Arial" w:cs="Arial"/>
        </w:rPr>
        <w:t>: The Board is composed of three members who are appointed by the Governor to six-year terms with the advice and consent of the State Senate.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Ala. Code § 15-22-20(a)-(d)</w:t>
      </w:r>
      <w:r>
        <w:rPr>
          <w:rFonts w:ascii="Arial" w:eastAsia="Arial" w:hAnsi="Arial" w:cs="Arial"/>
          <w:color w:val="0000EE"/>
          <w:u w:val="single"/>
        </w:rPr>
        <w:fldChar w:fldCharType="end"/>
      </w:r>
      <w:r>
        <w:rPr>
          <w:rFonts w:ascii="Arial" w:eastAsia="Arial" w:hAnsi="Arial" w:cs="Arial"/>
        </w:rPr>
        <w:t xml:space="preserve">.  Members are selected by the Governor from a slate nominated by a board consisting of the State Chief Justice as chair, the Lieutenant Governor, the presiding judge of the court of criminal appeals, the Speaker of the House and the President pro tem of the Senate.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 15-22-20</w:t>
      </w:r>
      <w:r>
        <w:rPr>
          <w:rFonts w:ascii="Arial" w:eastAsia="Arial" w:hAnsi="Arial" w:cs="Arial"/>
          <w:color w:val="0000EE"/>
          <w:u w:val="single"/>
        </w:rPr>
        <w:fldChar w:fldCharType="end"/>
      </w:r>
      <w:r>
        <w:rPr>
          <w:rFonts w:ascii="Arial" w:eastAsia="Arial" w:hAnsi="Arial" w:cs="Arial"/>
        </w:rPr>
        <w:t xml:space="preserve">(b).  The chairperson is designated by the Governor.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 15-22-20</w:t>
      </w:r>
      <w:r>
        <w:rPr>
          <w:rFonts w:ascii="Arial" w:eastAsia="Arial" w:hAnsi="Arial" w:cs="Arial"/>
          <w:color w:val="0000EE"/>
          <w:u w:val="single"/>
        </w:rPr>
        <w:fldChar w:fldCharType="end"/>
      </w:r>
      <w:r>
        <w:rPr>
          <w:rFonts w:ascii="Arial" w:eastAsia="Arial" w:hAnsi="Arial" w:cs="Arial"/>
        </w:rPr>
        <w:t xml:space="preserve">(d).  Members are full-time State officials, take an oath of office, and are subject to impeachment on the same grounds as other State officials.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 15-22-20</w:t>
      </w:r>
      <w:r>
        <w:rPr>
          <w:rFonts w:ascii="Arial" w:eastAsia="Arial" w:hAnsi="Arial" w:cs="Arial"/>
          <w:color w:val="0000EE"/>
          <w:u w:val="single"/>
        </w:rPr>
        <w:fldChar w:fldCharType="end"/>
      </w:r>
      <w:r>
        <w:rPr>
          <w:rFonts w:ascii="Arial" w:eastAsia="Arial" w:hAnsi="Arial" w:cs="Arial"/>
        </w:rPr>
        <w:t xml:space="preserve">(e).  The Board must make a full annual report to the Governor.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 15-22-24</w:t>
      </w:r>
      <w:r>
        <w:rPr>
          <w:rFonts w:ascii="Arial" w:eastAsia="Arial" w:hAnsi="Arial" w:cs="Arial"/>
          <w:color w:val="0000EE"/>
          <w:u w:val="single"/>
        </w:rPr>
        <w:fldChar w:fldCharType="end"/>
      </w:r>
      <w:r>
        <w:rPr>
          <w:rFonts w:ascii="Arial" w:eastAsia="Arial" w:hAnsi="Arial" w:cs="Arial"/>
        </w:rPr>
        <w:t>(b).</w:t>
      </w:r>
    </w:p>
    <w:p>
      <w:pPr>
        <w:pStyle w:val="Heading6"/>
        <w:pBdr>
          <w:left w:val="none" w:sz="0" w:space="31" w:color="auto"/>
        </w:pBdr>
        <w:spacing w:before="375" w:after="375"/>
        <w:ind w:left="900"/>
        <w:outlineLvl w:val="9"/>
        <w:rPr>
          <w:b/>
          <w:bCs/>
          <w:sz w:val="16"/>
          <w:szCs w:val="16"/>
        </w:rPr>
      </w:pPr>
      <w:r>
        <w:rPr>
          <w:rFonts w:ascii="Arial" w:eastAsia="Arial" w:hAnsi="Arial" w:cs="Arial"/>
          <w:i/>
          <w:iCs/>
        </w:rPr>
        <w:t>Eligibility</w:t>
      </w:r>
    </w:p>
    <w:p>
      <w:pPr>
        <w:pBdr>
          <w:left w:val="none" w:sz="0" w:space="31" w:color="auto"/>
        </w:pBdr>
        <w:spacing w:before="240" w:after="240"/>
        <w:ind w:left="1350"/>
        <w:rPr>
          <w:sz w:val="24"/>
          <w:szCs w:val="24"/>
        </w:rPr>
      </w:pPr>
      <w:r>
        <w:rPr>
          <w:rFonts w:ascii="Arial" w:eastAsia="Arial" w:hAnsi="Arial" w:cs="Arial"/>
        </w:rPr>
        <w:t xml:space="preserve">Completion of sentence, or completion of at least three years of permanent parole, unless the pardon is sought on grounds of innocence and the judge or district attorney approve in writing.  Ala. Code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 15-22-36</w:t>
      </w:r>
      <w:r>
        <w:rPr>
          <w:rFonts w:ascii="Arial" w:eastAsia="Arial" w:hAnsi="Arial" w:cs="Arial"/>
          <w:color w:val="0000EE"/>
          <w:u w:val="single"/>
        </w:rPr>
        <w:fldChar w:fldCharType="end"/>
      </w:r>
      <w:r>
        <w:rPr>
          <w:rFonts w:ascii="Arial" w:eastAsia="Arial" w:hAnsi="Arial" w:cs="Arial"/>
        </w:rPr>
        <w:t xml:space="preserve">(c).   Persons convicted of a felony or certain other offenses involving danger to the person must submit to the taking of a DNA sample as a mandatory condition of the pardon. </w:t>
      </w:r>
      <w:r>
        <w:rPr>
          <w:rFonts w:ascii="Arial" w:eastAsia="Arial" w:hAnsi="Arial" w:cs="Arial"/>
        </w:rPr>
        <w:fldChar w:fldCharType="begin"/>
      </w:r>
      <w:r>
        <w:rPr>
          <w:rFonts w:ascii="Arial" w:eastAsia="Arial" w:hAnsi="Arial" w:cs="Arial"/>
        </w:rPr>
        <w:instrText xml:space="preserve"> HYPERLINK "http://law.justia.com/codes/alabama/2015/title-36/chapter-18/article-2/" </w:instrText>
      </w:r>
      <w:r>
        <w:rPr>
          <w:rFonts w:ascii="Arial" w:eastAsia="Arial" w:hAnsi="Arial" w:cs="Arial"/>
        </w:rPr>
        <w:fldChar w:fldCharType="separate"/>
      </w:r>
      <w:r>
        <w:rPr>
          <w:rFonts w:ascii="Arial" w:eastAsia="Arial" w:hAnsi="Arial" w:cs="Arial"/>
          <w:color w:val="0000EE"/>
          <w:u w:val="single"/>
        </w:rPr>
        <w:t> Ala. Code § 36-18-25</w:t>
      </w:r>
      <w:r>
        <w:rPr>
          <w:rFonts w:ascii="Arial" w:eastAsia="Arial" w:hAnsi="Arial" w:cs="Arial"/>
          <w:color w:val="0000EE"/>
          <w:u w:val="single"/>
        </w:rPr>
        <w:fldChar w:fldCharType="end"/>
      </w:r>
      <w:r>
        <w:rPr>
          <w:rFonts w:ascii="Arial" w:eastAsia="Arial" w:hAnsi="Arial" w:cs="Arial"/>
        </w:rPr>
        <w:t xml:space="preserve">(f). Board accepts applications from federal offenders and people convicted in other state jurisdictions residing in the state.  </w:t>
      </w:r>
      <w:r>
        <w:rPr>
          <w:rFonts w:ascii="Arial" w:eastAsia="Arial" w:hAnsi="Arial" w:cs="Arial"/>
          <w:i/>
          <w:iCs/>
        </w:rPr>
        <w:t>See</w:t>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HYPERLINK "http://www.pardons.state.al.us/ALABPP/Main/ALABPP%20MAIN.htm" </w:instrText>
      </w:r>
      <w:r>
        <w:rPr>
          <w:rFonts w:ascii="Arial" w:eastAsia="Arial" w:hAnsi="Arial" w:cs="Arial"/>
        </w:rPr>
        <w:fldChar w:fldCharType="separate"/>
      </w:r>
      <w:r>
        <w:rPr>
          <w:rFonts w:ascii="Arial" w:eastAsia="Arial" w:hAnsi="Arial" w:cs="Arial"/>
          <w:color w:val="0000EE"/>
          <w:u w:val="single"/>
        </w:rPr>
        <w:t>Article 8 of Ala. Board Rules, Regulations and Procedures</w:t>
      </w:r>
      <w:r>
        <w:rPr>
          <w:rFonts w:ascii="Arial" w:eastAsia="Arial" w:hAnsi="Arial" w:cs="Arial"/>
          <w:color w:val="0000EE"/>
          <w:u w:val="single"/>
        </w:rPr>
        <w:fldChar w:fldCharType="end"/>
      </w:r>
      <w:r>
        <w:rPr>
          <w:rFonts w:ascii="Arial" w:eastAsia="Arial" w:hAnsi="Arial" w:cs="Arial"/>
        </w:rPr>
        <w:t>.  </w:t>
      </w:r>
      <w:r>
        <w:rPr>
          <w:rFonts w:ascii="Arial" w:eastAsia="Arial" w:hAnsi="Arial" w:cs="Arial"/>
          <w:i/>
          <w:iCs/>
        </w:rPr>
        <w:t>See</w:t>
      </w:r>
      <w:r>
        <w:rPr>
          <w:rFonts w:ascii="Arial" w:eastAsia="Arial" w:hAnsi="Arial" w:cs="Arial"/>
        </w:rPr>
        <w:t xml:space="preserve"> </w:t>
      </w:r>
      <w:r>
        <w:rPr>
          <w:rFonts w:ascii="Arial" w:eastAsia="Arial" w:hAnsi="Arial" w:cs="Arial"/>
          <w:i/>
          <w:iCs/>
        </w:rPr>
        <w:t>Hogan v. Hartwell</w:t>
      </w:r>
      <w:r>
        <w:rPr>
          <w:rFonts w:ascii="Arial" w:eastAsia="Arial" w:hAnsi="Arial" w:cs="Arial"/>
        </w:rPr>
        <w:t>, 7 So. 2d 889 (Ala. 1942) (Board had authority to restore citizenship and political rights of federal offender, as against contention that a pardon by President was essential to restore the lost rights).</w:t>
      </w:r>
    </w:p>
    <w:p>
      <w:pPr>
        <w:pStyle w:val="Heading6"/>
        <w:pBdr>
          <w:left w:val="none" w:sz="0" w:space="31" w:color="auto"/>
        </w:pBdr>
        <w:spacing w:before="375" w:after="375"/>
        <w:ind w:left="900"/>
        <w:outlineLvl w:val="9"/>
        <w:rPr>
          <w:b/>
          <w:bCs/>
          <w:sz w:val="16"/>
          <w:szCs w:val="16"/>
        </w:rPr>
      </w:pPr>
      <w:r>
        <w:rPr>
          <w:rFonts w:ascii="Arial" w:eastAsia="Arial" w:hAnsi="Arial" w:cs="Arial"/>
          <w:i/>
          <w:iCs/>
        </w:rPr>
        <w:t>Effect</w:t>
      </w:r>
    </w:p>
    <w:p>
      <w:pPr>
        <w:pBdr>
          <w:left w:val="none" w:sz="0" w:space="31" w:color="auto"/>
        </w:pBdr>
        <w:spacing w:before="240" w:after="240"/>
        <w:ind w:left="1350"/>
        <w:rPr>
          <w:sz w:val="24"/>
          <w:szCs w:val="24"/>
        </w:rPr>
      </w:pPr>
      <w:r>
        <w:rPr>
          <w:rFonts w:ascii="Arial" w:eastAsia="Arial" w:hAnsi="Arial" w:cs="Arial"/>
        </w:rPr>
        <w:t>A pardon does not wipe out the historical fact of the conviction; it involves forgiveness and not forgetfulness.  </w:t>
      </w:r>
      <w:r>
        <w:rPr>
          <w:rFonts w:ascii="Arial" w:eastAsia="Arial" w:hAnsi="Arial" w:cs="Arial"/>
          <w:i/>
          <w:iCs/>
        </w:rPr>
        <w:t>Johnson v. State</w:t>
      </w:r>
      <w:r>
        <w:rPr>
          <w:rFonts w:ascii="Arial" w:eastAsia="Arial" w:hAnsi="Arial" w:cs="Arial"/>
        </w:rPr>
        <w:t>, 421 So.2d 1306 (Ala. Crim. App. 1982).  A state pardon does not relieve civil and political disabilities “unless specifically expressed in the pardon.”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Ala. Code § 15-22-36</w:t>
      </w:r>
      <w:r>
        <w:rPr>
          <w:rFonts w:ascii="Arial" w:eastAsia="Arial" w:hAnsi="Arial" w:cs="Arial"/>
          <w:color w:val="0000EE"/>
          <w:u w:val="single"/>
        </w:rPr>
        <w:fldChar w:fldCharType="end"/>
      </w:r>
      <w:r>
        <w:rPr>
          <w:rFonts w:ascii="Arial" w:eastAsia="Arial" w:hAnsi="Arial" w:cs="Arial"/>
        </w:rPr>
        <w:t xml:space="preserve">(c).  </w:t>
      </w:r>
      <w:r>
        <w:rPr>
          <w:rFonts w:ascii="Arial" w:eastAsia="Arial" w:hAnsi="Arial" w:cs="Arial"/>
          <w:i/>
          <w:iCs/>
        </w:rPr>
        <w:t>See also</w:t>
      </w:r>
      <w:r>
        <w:rPr>
          <w:rFonts w:ascii="Arial" w:eastAsia="Arial" w:hAnsi="Arial" w:cs="Arial"/>
          <w:i/>
          <w:iCs/>
        </w:rPr>
        <w:fldChar w:fldCharType="begin"/>
      </w:r>
      <w:r>
        <w:rPr>
          <w:rFonts w:ascii="Arial" w:eastAsia="Arial" w:hAnsi="Arial" w:cs="Arial"/>
          <w:i/>
          <w:iCs/>
        </w:rPr>
        <w:instrText xml:space="preserve"> HYPERLINK "http://law.justia.com/codes/alabama/2015/title-17/chapter-3/article-2/" </w:instrText>
      </w:r>
      <w:r>
        <w:rPr>
          <w:rFonts w:ascii="Arial" w:eastAsia="Arial" w:hAnsi="Arial" w:cs="Arial"/>
          <w:i/>
          <w:iCs/>
        </w:rPr>
        <w:fldChar w:fldCharType="separate"/>
      </w:r>
      <w:r>
        <w:rPr>
          <w:rFonts w:ascii="Arial" w:eastAsia="Arial" w:hAnsi="Arial" w:cs="Arial"/>
          <w:color w:val="0000EE"/>
          <w:u w:val="single"/>
        </w:rPr>
        <w:t>Ala. Code § 17-3-31</w:t>
      </w:r>
      <w:r>
        <w:rPr>
          <w:rFonts w:ascii="Arial" w:eastAsia="Arial" w:hAnsi="Arial" w:cs="Arial"/>
          <w:color w:val="0000EE"/>
          <w:u w:val="single"/>
        </w:rPr>
        <w:fldChar w:fldCharType="end"/>
      </w:r>
      <w:r>
        <w:rPr>
          <w:rFonts w:ascii="Arial" w:eastAsia="Arial" w:hAnsi="Arial" w:cs="Arial"/>
        </w:rPr>
        <w:t xml:space="preserve">.  A person who has forfeited his office as a result of felony conviction is not restored to that office by a pardon.  </w:t>
      </w:r>
      <w:r>
        <w:rPr>
          <w:rFonts w:ascii="Arial" w:eastAsia="Arial" w:hAnsi="Arial" w:cs="Arial"/>
        </w:rPr>
        <w:fldChar w:fldCharType="begin"/>
      </w:r>
      <w:r>
        <w:rPr>
          <w:rFonts w:ascii="Arial" w:eastAsia="Arial" w:hAnsi="Arial" w:cs="Arial"/>
        </w:rPr>
        <w:instrText xml:space="preserve"> HYPERLINK "http://law.justia.com/codes/alabama/2015/title-36/chapter-9/" </w:instrText>
      </w:r>
      <w:r>
        <w:rPr>
          <w:rFonts w:ascii="Arial" w:eastAsia="Arial" w:hAnsi="Arial" w:cs="Arial"/>
        </w:rPr>
        <w:fldChar w:fldCharType="separate"/>
      </w:r>
      <w:r>
        <w:rPr>
          <w:rFonts w:ascii="Arial" w:eastAsia="Arial" w:hAnsi="Arial" w:cs="Arial"/>
          <w:color w:val="0000EE"/>
          <w:u w:val="single"/>
        </w:rPr>
        <w:t>Ala. Code § 36-9-2</w:t>
      </w:r>
      <w:r>
        <w:rPr>
          <w:rFonts w:ascii="Arial" w:eastAsia="Arial" w:hAnsi="Arial" w:cs="Arial"/>
          <w:color w:val="0000EE"/>
          <w:u w:val="single"/>
        </w:rPr>
        <w:fldChar w:fldCharType="end"/>
      </w:r>
      <w:r>
        <w:rPr>
          <w:rFonts w:ascii="Arial" w:eastAsia="Arial" w:hAnsi="Arial" w:cs="Arial"/>
        </w:rPr>
        <w:t>;.</w:t>
      </w:r>
      <w:r>
        <w:rPr>
          <w:rFonts w:ascii="Arial" w:eastAsia="Arial" w:hAnsi="Arial" w:cs="Arial"/>
          <w:i/>
          <w:iCs/>
        </w:rPr>
        <w:t>see also</w:t>
      </w:r>
      <w:r>
        <w:rPr>
          <w:rFonts w:ascii="Arial" w:eastAsia="Arial" w:hAnsi="Arial" w:cs="Arial"/>
        </w:rPr>
        <w:t xml:space="preserve"> </w:t>
      </w:r>
      <w:r>
        <w:rPr>
          <w:rFonts w:ascii="Arial" w:eastAsia="Arial" w:hAnsi="Arial" w:cs="Arial"/>
          <w:i/>
          <w:iCs/>
        </w:rPr>
        <w:t>Hendrix v. Hunt</w:t>
      </w:r>
      <w:r>
        <w:rPr>
          <w:rFonts w:ascii="Arial" w:eastAsia="Arial" w:hAnsi="Arial" w:cs="Arial"/>
        </w:rPr>
        <w:t xml:space="preserve">, 607 So. 2d 1254 (Ala. 1992).  “[A] pardon that restores to an individual all civil rights and political privileges necessarily nullifies all legal punishment for the offense.  In other words, if the conviction incorporates certain civil and political disqualifications, then a pardon that specifically revives all civil and political rights must certainly remove any and all legal incapacities,” including handgun privileges. </w:t>
      </w:r>
      <w:r>
        <w:rPr>
          <w:rFonts w:ascii="Arial" w:eastAsia="Arial" w:hAnsi="Arial" w:cs="Arial"/>
          <w:i/>
          <w:iCs/>
        </w:rPr>
        <w:t>State ex rel. Sokira v. Burr</w:t>
      </w:r>
      <w:r>
        <w:rPr>
          <w:rFonts w:ascii="Arial" w:eastAsia="Arial" w:hAnsi="Arial" w:cs="Arial"/>
        </w:rPr>
        <w:t xml:space="preserve">, 580 So.2d 1340, 1345 (Ala. 1991). The Board may grant a full pardon, which restores all rights, or it may grant a pardon with restrictions (e.g., firearms privileges, sex offender registration, habitual offender status).  After the Sokira decision, it became common for the Board of Pardons and Parole to expressly exclude the right to own/possess/control a firearm from the restoration of civil rights. </w:t>
      </w:r>
      <w:r>
        <w:rPr>
          <w:rFonts w:ascii="Arial" w:eastAsia="Arial" w:hAnsi="Arial" w:cs="Arial"/>
          <w:i/>
          <w:iCs/>
        </w:rPr>
        <w:t>See</w:t>
      </w:r>
      <w:r>
        <w:rPr>
          <w:rFonts w:ascii="Arial" w:eastAsia="Arial" w:hAnsi="Arial" w:cs="Arial"/>
        </w:rPr>
        <w:t xml:space="preserve"> Ala. Op. Atty Gen. No. 1999-060, 1998 WL 34309449, * 1, 3 (1998).</w:t>
      </w:r>
    </w:p>
    <w:p>
      <w:pPr>
        <w:pStyle w:val="Heading6"/>
        <w:pBdr>
          <w:left w:val="none" w:sz="0" w:space="31" w:color="auto"/>
        </w:pBdr>
        <w:spacing w:before="375" w:after="375"/>
        <w:ind w:left="900"/>
        <w:outlineLvl w:val="9"/>
        <w:rPr>
          <w:b/>
          <w:bCs/>
          <w:sz w:val="16"/>
          <w:szCs w:val="16"/>
        </w:rPr>
      </w:pPr>
      <w:r>
        <w:rPr>
          <w:rFonts w:ascii="Arial" w:eastAsia="Arial" w:hAnsi="Arial" w:cs="Arial"/>
          <w:i/>
          <w:iCs/>
        </w:rPr>
        <w:t>Process</w:t>
      </w:r>
    </w:p>
    <w:p>
      <w:pPr>
        <w:pBdr>
          <w:left w:val="none" w:sz="0" w:space="31" w:color="auto"/>
        </w:pBdr>
        <w:spacing w:before="240" w:after="240"/>
        <w:ind w:left="1350"/>
        <w:rPr>
          <w:sz w:val="24"/>
          <w:szCs w:val="24"/>
        </w:rPr>
      </w:pPr>
      <w:r>
        <w:rPr>
          <w:rFonts w:ascii="Arial" w:eastAsia="Arial" w:hAnsi="Arial" w:cs="Arial"/>
        </w:rPr>
        <w:t>Hearing required, vote by majority, decision and reasons public.  Board has no power to grant a pardon or other act of clemency unless the action is taken in an open public meeting, of which 30 days’ notice has been given to the Attorney General, the DA who prosecuted the case and the judge who sentenced the offender, the chief of police and the county sheriff, and the victim.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Ala. Code §§ 15-22-23</w:t>
      </w:r>
      <w:r>
        <w:rPr>
          <w:rFonts w:ascii="Arial" w:eastAsia="Arial" w:hAnsi="Arial" w:cs="Arial"/>
          <w:color w:val="0000EE"/>
          <w:u w:val="single"/>
        </w:rPr>
        <w:fldChar w:fldCharType="end"/>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15-22-36</w:t>
      </w:r>
      <w:r>
        <w:rPr>
          <w:rFonts w:ascii="Arial" w:eastAsia="Arial" w:hAnsi="Arial" w:cs="Arial"/>
          <w:color w:val="0000EE"/>
          <w:u w:val="single"/>
        </w:rPr>
        <w:fldChar w:fldCharType="end"/>
      </w:r>
      <w:r>
        <w:rPr>
          <w:rFonts w:ascii="Arial" w:eastAsia="Arial" w:hAnsi="Arial" w:cs="Arial"/>
        </w:rPr>
        <w:t xml:space="preserve">; </w:t>
      </w:r>
      <w:r>
        <w:rPr>
          <w:rFonts w:ascii="Arial" w:eastAsia="Arial" w:hAnsi="Arial" w:cs="Arial"/>
          <w:i/>
          <w:iCs/>
        </w:rPr>
        <w:t>see also</w:t>
      </w:r>
      <w:r>
        <w:rPr>
          <w:rFonts w:ascii="Arial" w:eastAsia="Arial" w:hAnsi="Arial" w:cs="Arial"/>
        </w:rPr>
        <w:t xml:space="preserve"> Article 4 of the Ala. Board Rules, supra.   Application to Board of Pardons and Parole is very simple form filed with local probation office that is “intended to facilitate application by individuals who lack formal education.” </w:t>
      </w:r>
      <w:r>
        <w:rPr>
          <w:rFonts w:ascii="Arial" w:eastAsia="Arial" w:hAnsi="Arial" w:cs="Arial"/>
        </w:rPr>
        <w:fldChar w:fldCharType="begin"/>
      </w:r>
      <w:r>
        <w:rPr>
          <w:rFonts w:ascii="Arial" w:eastAsia="Arial" w:hAnsi="Arial" w:cs="Arial"/>
        </w:rPr>
        <w:instrText xml:space="preserve"> HYPERLINK "http://www.alabamaadministrativecode.state.al.us/docs/par/6par.htm" </w:instrText>
      </w:r>
      <w:r>
        <w:rPr>
          <w:rFonts w:ascii="Arial" w:eastAsia="Arial" w:hAnsi="Arial" w:cs="Arial"/>
        </w:rPr>
        <w:fldChar w:fldCharType="separate"/>
      </w:r>
      <w:r>
        <w:rPr>
          <w:rFonts w:ascii="Arial" w:eastAsia="Arial" w:hAnsi="Arial" w:cs="Arial"/>
          <w:color w:val="0000EE"/>
          <w:u w:val="single"/>
        </w:rPr>
        <w:t> Ala. Admin. Code r. 640-X-6-.01</w:t>
      </w:r>
      <w:r>
        <w:rPr>
          <w:rFonts w:ascii="Arial" w:eastAsia="Arial" w:hAnsi="Arial" w:cs="Arial"/>
          <w:color w:val="0000EE"/>
          <w:u w:val="single"/>
        </w:rPr>
        <w:fldChar w:fldCharType="end"/>
      </w:r>
      <w:r>
        <w:rPr>
          <w:rFonts w:ascii="Arial" w:eastAsia="Arial" w:hAnsi="Arial" w:cs="Arial"/>
        </w:rPr>
        <w:t>.  Investigation by a local probation officer includes current information on the applicant’s home situation, job status, and an updated criminal arrest record, written references and other information as warranted.  </w:t>
      </w:r>
      <w:r>
        <w:rPr>
          <w:rFonts w:ascii="Arial" w:eastAsia="Arial" w:hAnsi="Arial" w:cs="Arial"/>
          <w:i/>
          <w:iCs/>
        </w:rPr>
        <w:t>See</w:t>
      </w:r>
      <w:r>
        <w:rPr>
          <w:rFonts w:ascii="Arial" w:eastAsia="Arial" w:hAnsi="Arial" w:cs="Arial"/>
        </w:rPr>
        <w:t xml:space="preserve"> Article 8 of Ala. Board Rules, </w:t>
      </w:r>
      <w:r>
        <w:rPr>
          <w:rFonts w:ascii="Arial" w:eastAsia="Arial" w:hAnsi="Arial" w:cs="Arial"/>
          <w:i/>
          <w:iCs/>
        </w:rPr>
        <w:t>supra</w:t>
      </w:r>
      <w:r>
        <w:rPr>
          <w:rFonts w:ascii="Arial" w:eastAsia="Arial" w:hAnsi="Arial" w:cs="Arial"/>
        </w:rPr>
        <w:t>.  The Board may not act on any application or case until a complete investigation of the prisoner’s social and criminal record has been made by a parole officer and a written report thereof made a part of the prisoner’s file.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Ala. Code § 15-22-25</w:t>
      </w:r>
      <w:r>
        <w:rPr>
          <w:rFonts w:ascii="Arial" w:eastAsia="Arial" w:hAnsi="Arial" w:cs="Arial"/>
          <w:color w:val="0000EE"/>
          <w:u w:val="single"/>
        </w:rPr>
        <w:fldChar w:fldCharType="end"/>
      </w:r>
      <w:r>
        <w:rPr>
          <w:rFonts w:ascii="Arial" w:eastAsia="Arial" w:hAnsi="Arial" w:cs="Arial"/>
        </w:rPr>
        <w:t xml:space="preserve"> (b).  Once the investigation is complete, a hearing will be set before the Board.  Required notification will be sent to the victim and concerned officials.  At hearing, a decision is made by majority vote to grant or deny the pardon request, and announced.  Process takes about a year from beginning to end.  </w:t>
      </w:r>
      <w:r>
        <w:rPr>
          <w:rFonts w:ascii="Arial" w:eastAsia="Arial" w:hAnsi="Arial" w:cs="Arial"/>
          <w:i/>
          <w:iCs/>
        </w:rPr>
        <w:t>See</w:t>
      </w:r>
      <w:r>
        <w:rPr>
          <w:rFonts w:ascii="Arial" w:eastAsia="Arial" w:hAnsi="Arial" w:cs="Arial"/>
        </w:rPr>
        <w:t xml:space="preserve"> Article 6 of the Ala. Board Rules.  These same procedures will apply to a request for a Certificate of Eligibility to Register to Vote, except where superseded by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Ala. Code § 15-22-36.1</w:t>
      </w:r>
      <w:r>
        <w:rPr>
          <w:rFonts w:ascii="Arial" w:eastAsia="Arial" w:hAnsi="Arial" w:cs="Arial"/>
          <w:color w:val="0000EE"/>
          <w:u w:val="single"/>
        </w:rPr>
        <w:fldChar w:fldCharType="end"/>
      </w:r>
      <w:r>
        <w:rPr>
          <w:rFonts w:ascii="Arial" w:eastAsia="Arial" w:hAnsi="Arial" w:cs="Arial"/>
        </w:rPr>
        <w:t xml:space="preserve"> (see below, providing for paper review).</w:t>
      </w:r>
    </w:p>
    <w:p>
      <w:pPr>
        <w:pBdr>
          <w:left w:val="none" w:sz="0" w:space="31" w:color="auto"/>
        </w:pBdr>
        <w:spacing w:before="240" w:after="240"/>
        <w:ind w:left="1350"/>
        <w:rPr>
          <w:sz w:val="24"/>
          <w:szCs w:val="24"/>
        </w:rPr>
      </w:pPr>
      <w:r>
        <w:rPr>
          <w:rFonts w:ascii="Arial" w:eastAsia="Arial" w:hAnsi="Arial" w:cs="Arial"/>
        </w:rPr>
        <w:t xml:space="preserve">Board Orders granting pardons, with or without restoration of civil and political rights, are public records. The statements of reasons filed by each member voting in favor of such grant are public records.  However, pardon files are otherwise confidential.  </w:t>
      </w:r>
      <w:r>
        <w:rPr>
          <w:rFonts w:ascii="Arial" w:eastAsia="Arial" w:hAnsi="Arial" w:cs="Arial"/>
          <w:i/>
          <w:iCs/>
        </w:rPr>
        <w:t>Ex parte Alabama Bd. of Pardons and Paroles</w:t>
      </w:r>
      <w:r>
        <w:rPr>
          <w:rFonts w:ascii="Arial" w:eastAsia="Arial" w:hAnsi="Arial" w:cs="Arial"/>
        </w:rPr>
        <w:t>, 814 So. 2d 870 (Ala. 2001).  Petitioner is not entitled to inspect his own file or to have a reason for denial.  </w:t>
      </w:r>
      <w:r>
        <w:rPr>
          <w:rFonts w:ascii="Arial" w:eastAsia="Arial" w:hAnsi="Arial" w:cs="Arial"/>
          <w:i/>
          <w:iCs/>
        </w:rPr>
        <w:t>Ex parte Alabama Bd. of Pardons and Paroles</w:t>
      </w:r>
      <w:r>
        <w:rPr>
          <w:rFonts w:ascii="Arial" w:eastAsia="Arial" w:hAnsi="Arial" w:cs="Arial"/>
        </w:rPr>
        <w:t>, 849 So. 2d 255 (Ala. Crim. App. 2002).</w:t>
      </w:r>
    </w:p>
    <w:p>
      <w:pPr>
        <w:pBdr>
          <w:left w:val="none" w:sz="0" w:space="31" w:color="auto"/>
        </w:pBdr>
        <w:spacing w:before="240" w:after="240"/>
        <w:ind w:left="1350"/>
        <w:rPr>
          <w:sz w:val="24"/>
          <w:szCs w:val="24"/>
        </w:rPr>
      </w:pPr>
      <w:r>
        <w:rPr>
          <w:rFonts w:ascii="Arial" w:eastAsia="Arial" w:hAnsi="Arial" w:cs="Arial"/>
          <w:u w:val="single"/>
        </w:rPr>
        <w:t>Expedited Process to Restore Voting Rights</w:t>
      </w:r>
      <w:r>
        <w:rPr>
          <w:rFonts w:ascii="Arial" w:eastAsia="Arial" w:hAnsi="Arial" w:cs="Arial"/>
        </w:rPr>
        <w:t>: In October 2003, the Alabama legislature enacted an expedited process for restoring right to vote to be administered by the Board, applicable to all but specified serious violent offenses and sex offenses.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Ala. Code § 15-22-36.1</w:t>
      </w:r>
      <w:r>
        <w:rPr>
          <w:rFonts w:ascii="Arial" w:eastAsia="Arial" w:hAnsi="Arial" w:cs="Arial"/>
          <w:color w:val="0000EE"/>
          <w:u w:val="single"/>
        </w:rPr>
        <w:fldChar w:fldCharType="end"/>
      </w:r>
      <w:r>
        <w:rPr>
          <w:rFonts w:ascii="Arial" w:eastAsia="Arial" w:hAnsi="Arial" w:cs="Arial"/>
        </w:rPr>
        <w:t>.  Eligibility depends upon applicant having completed sentence, including payment of fines, court costs, fees, and victim restitution ordered by the sentencing court; may have no pending felony charges. The Attorney General of Alabama has recently opined that if a person has been convicted of both a disqualifying and a non-disqualifying offense, the person must have satisfied all terms and conditions of the non-disqualifying offense in order to be considered for restitution. Ala. Op. Atty. Gen. No. 2005-092 (March 18, 2005).   If a person is determined to be eligible, the right to vote must be restored.</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 15-22-36.1</w:t>
      </w:r>
      <w:r>
        <w:rPr>
          <w:rFonts w:ascii="Arial" w:eastAsia="Arial" w:hAnsi="Arial" w:cs="Arial"/>
          <w:color w:val="0000EE"/>
          <w:u w:val="single"/>
        </w:rPr>
        <w:fldChar w:fldCharType="end"/>
      </w:r>
      <w:r>
        <w:rPr>
          <w:rFonts w:ascii="Arial" w:eastAsia="Arial" w:hAnsi="Arial" w:cs="Arial"/>
        </w:rPr>
        <w:t xml:space="preserve">(b).   Restoration is also available to federal and out-of-state offenders.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 15-22-36.1</w:t>
      </w:r>
      <w:r>
        <w:rPr>
          <w:rFonts w:ascii="Arial" w:eastAsia="Arial" w:hAnsi="Arial" w:cs="Arial"/>
          <w:color w:val="0000EE"/>
          <w:u w:val="single"/>
        </w:rPr>
        <w:fldChar w:fldCharType="end"/>
      </w:r>
      <w:r>
        <w:rPr>
          <w:rFonts w:ascii="Arial" w:eastAsia="Arial" w:hAnsi="Arial" w:cs="Arial"/>
        </w:rPr>
        <w:t>(a)(1).</w:t>
      </w:r>
    </w:p>
    <w:p>
      <w:pPr>
        <w:pBdr>
          <w:left w:val="none" w:sz="0" w:space="31" w:color="auto"/>
        </w:pBdr>
        <w:spacing w:before="240" w:after="240"/>
        <w:ind w:left="1350"/>
        <w:rPr>
          <w:sz w:val="24"/>
          <w:szCs w:val="24"/>
        </w:rPr>
      </w:pPr>
      <w:r>
        <w:rPr>
          <w:rFonts w:ascii="Arial" w:eastAsia="Arial" w:hAnsi="Arial" w:cs="Arial"/>
        </w:rPr>
        <w:t>The application process may include investigation by parole officer and report to Board within 45 days.  If no board member objects within five days, issuance of Certificate of Eligibility to Vote is automatic.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 15-22-36.1</w:t>
      </w:r>
      <w:r>
        <w:rPr>
          <w:rFonts w:ascii="Arial" w:eastAsia="Arial" w:hAnsi="Arial" w:cs="Arial"/>
          <w:color w:val="0000EE"/>
          <w:u w:val="single"/>
        </w:rPr>
        <w:fldChar w:fldCharType="end"/>
      </w:r>
      <w:r>
        <w:rPr>
          <w:rFonts w:ascii="Arial" w:eastAsia="Arial" w:hAnsi="Arial" w:cs="Arial"/>
        </w:rPr>
        <w:t xml:space="preserve">(e).  If any member of Board objects on grounds of eligibility, hearing scheduled.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 15-22-36.1</w:t>
      </w:r>
      <w:r>
        <w:rPr>
          <w:rFonts w:ascii="Arial" w:eastAsia="Arial" w:hAnsi="Arial" w:cs="Arial"/>
          <w:color w:val="0000EE"/>
          <w:u w:val="single"/>
        </w:rPr>
        <w:fldChar w:fldCharType="end"/>
      </w:r>
      <w:r>
        <w:rPr>
          <w:rFonts w:ascii="Arial" w:eastAsia="Arial" w:hAnsi="Arial" w:cs="Arial"/>
        </w:rPr>
        <w:t>(f).  In the event the board determines, by a majority vote, that the criteria have been met, the executive director shall forthwith issue a Certificate of Eligibility to Register to Vote to the applicant. </w:t>
      </w:r>
      <w:r>
        <w:rPr>
          <w:rFonts w:ascii="Arial" w:eastAsia="Arial" w:hAnsi="Arial" w:cs="Arial"/>
          <w:i/>
          <w:iCs/>
        </w:rPr>
        <w:t xml:space="preserve"> Id.</w:t>
      </w:r>
    </w:p>
    <w:p>
      <w:pPr>
        <w:pStyle w:val="Heading6"/>
        <w:pBdr>
          <w:left w:val="none" w:sz="0" w:space="31" w:color="auto"/>
        </w:pBdr>
        <w:spacing w:before="375" w:after="375"/>
        <w:ind w:left="900"/>
        <w:outlineLvl w:val="9"/>
        <w:rPr>
          <w:b/>
          <w:bCs/>
          <w:sz w:val="16"/>
          <w:szCs w:val="16"/>
        </w:rPr>
      </w:pPr>
      <w:r>
        <w:rPr>
          <w:rFonts w:ascii="Arial" w:eastAsia="Arial" w:hAnsi="Arial" w:cs="Arial"/>
          <w:i/>
          <w:iCs/>
        </w:rPr>
        <w:t>Frequency of Grants</w:t>
      </w:r>
    </w:p>
    <w:p>
      <w:pPr>
        <w:pBdr>
          <w:left w:val="none" w:sz="0" w:space="31" w:color="auto"/>
        </w:pBdr>
        <w:spacing w:before="240" w:after="240"/>
        <w:ind w:left="1350"/>
        <w:rPr>
          <w:sz w:val="24"/>
          <w:szCs w:val="24"/>
        </w:rPr>
      </w:pPr>
      <w:r>
        <w:rPr>
          <w:rFonts w:ascii="Arial" w:eastAsia="Arial" w:hAnsi="Arial" w:cs="Arial"/>
        </w:rPr>
        <w:t>Applications for pardon have increased in recent years because pardon is necessary for employment and bonding purposes, and to regain firearms rights.  A substantial number of pardons go to those previously granted restoration of voting rights.</w:t>
      </w:r>
    </w:p>
    <w:p>
      <w:pPr>
        <w:spacing w:before="240" w:after="240"/>
        <w:rPr>
          <w:sz w:val="24"/>
          <w:szCs w:val="24"/>
        </w:rPr>
      </w:pPr>
      <w:r>
        <w:t> </w:t>
      </w:r>
    </w:p>
    <w:tbl>
      <w:tblPr>
        <w:tblW w:w="17235" w:type="dxa"/>
        <w:tblCellSpacing w:w="15" w:type="dxa"/>
        <w:tblInd w:w="450"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3545"/>
        <w:gridCol w:w="1785"/>
        <w:gridCol w:w="1296"/>
        <w:gridCol w:w="1149"/>
        <w:gridCol w:w="1296"/>
        <w:gridCol w:w="1271"/>
        <w:gridCol w:w="1271"/>
        <w:gridCol w:w="1173"/>
        <w:gridCol w:w="1076"/>
        <w:gridCol w:w="1222"/>
        <w:gridCol w:w="978"/>
        <w:gridCol w:w="978"/>
      </w:tblGrid>
      <w:tr>
        <w:tblPrEx>
          <w:tblW w:w="17235" w:type="dxa"/>
          <w:tblCellSpacing w:w="15" w:type="dxa"/>
          <w:tblInd w:w="450"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1710" w:type="dxa"/>
            <w:tcMar>
              <w:top w:w="15" w:type="dxa"/>
              <w:left w:w="450" w:type="dxa"/>
              <w:bottom w:w="15" w:type="dxa"/>
              <w:right w:w="15" w:type="dxa"/>
            </w:tcMar>
            <w:vAlign w:val="center"/>
          </w:tcPr>
          <w:p>
            <w:pPr>
              <w:jc w:val="center"/>
              <w:rPr>
                <w:sz w:val="24"/>
                <w:szCs w:val="24"/>
              </w:rPr>
            </w:pPr>
            <w:r>
              <w:rPr>
                <w:rFonts w:ascii="Arial" w:eastAsia="Arial" w:hAnsi="Arial" w:cs="Arial"/>
              </w:rPr>
              <w:t> </w:t>
            </w:r>
          </w:p>
        </w:tc>
        <w:tc>
          <w:tcPr>
            <w:tcW w:w="1065" w:type="dxa"/>
            <w:tcMar>
              <w:top w:w="15" w:type="dxa"/>
              <w:left w:w="15" w:type="dxa"/>
              <w:bottom w:w="15" w:type="dxa"/>
              <w:right w:w="15" w:type="dxa"/>
            </w:tcMar>
            <w:vAlign w:val="center"/>
          </w:tcPr>
          <w:p>
            <w:pPr>
              <w:rPr>
                <w:sz w:val="24"/>
                <w:szCs w:val="24"/>
              </w:rPr>
            </w:pPr>
            <w:r>
              <w:rPr>
                <w:rFonts w:ascii="Arial" w:eastAsia="Arial" w:hAnsi="Arial" w:cs="Arial"/>
              </w:rPr>
              <w:t>FY 04</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FY 05</w:t>
            </w:r>
          </w:p>
        </w:tc>
        <w:tc>
          <w:tcPr>
            <w:tcW w:w="675" w:type="dxa"/>
            <w:tcMar>
              <w:top w:w="15" w:type="dxa"/>
              <w:left w:w="15" w:type="dxa"/>
              <w:bottom w:w="15" w:type="dxa"/>
              <w:right w:w="15" w:type="dxa"/>
            </w:tcMar>
            <w:vAlign w:val="center"/>
          </w:tcPr>
          <w:p>
            <w:pPr>
              <w:rPr>
                <w:sz w:val="24"/>
                <w:szCs w:val="24"/>
              </w:rPr>
            </w:pPr>
            <w:r>
              <w:rPr>
                <w:rFonts w:ascii="Arial" w:eastAsia="Arial" w:hAnsi="Arial" w:cs="Arial"/>
              </w:rPr>
              <w:t>FY 06</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FY 07</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FY 08</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FY 09</w:t>
            </w:r>
          </w:p>
        </w:tc>
        <w:tc>
          <w:tcPr>
            <w:tcW w:w="690" w:type="dxa"/>
            <w:tcMar>
              <w:top w:w="15" w:type="dxa"/>
              <w:left w:w="15" w:type="dxa"/>
              <w:bottom w:w="15" w:type="dxa"/>
              <w:right w:w="15" w:type="dxa"/>
            </w:tcMar>
            <w:vAlign w:val="center"/>
          </w:tcPr>
          <w:p>
            <w:pPr>
              <w:rPr>
                <w:sz w:val="24"/>
                <w:szCs w:val="24"/>
              </w:rPr>
            </w:pPr>
            <w:r>
              <w:rPr>
                <w:rFonts w:ascii="Arial" w:eastAsia="Arial" w:hAnsi="Arial" w:cs="Arial"/>
              </w:rPr>
              <w:t>FY 10</w:t>
            </w:r>
          </w:p>
        </w:tc>
        <w:tc>
          <w:tcPr>
            <w:tcW w:w="630" w:type="dxa"/>
            <w:tcMar>
              <w:top w:w="15" w:type="dxa"/>
              <w:left w:w="15" w:type="dxa"/>
              <w:bottom w:w="15" w:type="dxa"/>
              <w:right w:w="15" w:type="dxa"/>
            </w:tcMar>
            <w:vAlign w:val="center"/>
          </w:tcPr>
          <w:p>
            <w:pPr>
              <w:rPr>
                <w:sz w:val="24"/>
                <w:szCs w:val="24"/>
              </w:rPr>
            </w:pPr>
            <w:r>
              <w:rPr>
                <w:rFonts w:ascii="Arial" w:eastAsia="Arial" w:hAnsi="Arial" w:cs="Arial"/>
              </w:rPr>
              <w:t>FY 11</w:t>
            </w:r>
          </w:p>
        </w:tc>
        <w:tc>
          <w:tcPr>
            <w:tcW w:w="720" w:type="dxa"/>
            <w:tcMar>
              <w:top w:w="15" w:type="dxa"/>
              <w:left w:w="15" w:type="dxa"/>
              <w:bottom w:w="15" w:type="dxa"/>
              <w:right w:w="15" w:type="dxa"/>
            </w:tcMar>
            <w:vAlign w:val="center"/>
          </w:tcPr>
          <w:p>
            <w:pPr>
              <w:rPr>
                <w:sz w:val="24"/>
                <w:szCs w:val="24"/>
              </w:rPr>
            </w:pPr>
            <w:r>
              <w:rPr>
                <w:rFonts w:ascii="Arial" w:eastAsia="Arial" w:hAnsi="Arial" w:cs="Arial"/>
              </w:rPr>
              <w:t>FY 12</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FY 13</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FY 14</w:t>
            </w:r>
          </w:p>
        </w:tc>
      </w:tr>
      <w:tr>
        <w:tblPrEx>
          <w:tblW w:w="17235" w:type="dxa"/>
          <w:tblCellSpacing w:w="15" w:type="dxa"/>
          <w:tblInd w:w="450" w:type="dxa"/>
          <w:tblCellMar>
            <w:top w:w="15" w:type="dxa"/>
            <w:left w:w="15" w:type="dxa"/>
            <w:bottom w:w="15" w:type="dxa"/>
            <w:right w:w="15" w:type="dxa"/>
          </w:tblCellMar>
        </w:tblPrEx>
        <w:trPr>
          <w:tblCellSpacing w:w="15" w:type="dxa"/>
        </w:trPr>
        <w:tc>
          <w:tcPr>
            <w:tcW w:w="1275" w:type="dxa"/>
            <w:tcMar>
              <w:top w:w="15" w:type="dxa"/>
              <w:left w:w="15" w:type="dxa"/>
              <w:bottom w:w="15" w:type="dxa"/>
              <w:right w:w="15" w:type="dxa"/>
            </w:tcMar>
            <w:vAlign w:val="center"/>
          </w:tcPr>
          <w:p>
            <w:pPr>
              <w:rPr>
                <w:sz w:val="24"/>
                <w:szCs w:val="24"/>
              </w:rPr>
            </w:pPr>
            <w:r>
              <w:rPr>
                <w:rFonts w:ascii="Arial" w:eastAsia="Arial" w:hAnsi="Arial" w:cs="Arial"/>
              </w:rPr>
              <w:t>Pardons considered</w:t>
            </w:r>
          </w:p>
        </w:tc>
        <w:tc>
          <w:tcPr>
            <w:tcW w:w="1065" w:type="dxa"/>
            <w:tcMar>
              <w:top w:w="15" w:type="dxa"/>
              <w:left w:w="15" w:type="dxa"/>
              <w:bottom w:w="15" w:type="dxa"/>
              <w:right w:w="15" w:type="dxa"/>
            </w:tcMar>
            <w:vAlign w:val="center"/>
          </w:tcPr>
          <w:p>
            <w:pPr>
              <w:rPr>
                <w:sz w:val="24"/>
                <w:szCs w:val="24"/>
              </w:rPr>
            </w:pPr>
            <w:r>
              <w:rPr>
                <w:rFonts w:ascii="Arial" w:eastAsia="Arial" w:hAnsi="Arial" w:cs="Arial"/>
              </w:rPr>
              <w:t>222</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 </w:t>
            </w:r>
          </w:p>
        </w:tc>
        <w:tc>
          <w:tcPr>
            <w:tcW w:w="675" w:type="dxa"/>
            <w:tcMar>
              <w:top w:w="15" w:type="dxa"/>
              <w:left w:w="15" w:type="dxa"/>
              <w:bottom w:w="15" w:type="dxa"/>
              <w:right w:w="15" w:type="dxa"/>
            </w:tcMar>
            <w:vAlign w:val="center"/>
          </w:tcPr>
          <w:p>
            <w:pPr>
              <w:rPr>
                <w:sz w:val="24"/>
                <w:szCs w:val="24"/>
              </w:rPr>
            </w:pPr>
            <w:r>
              <w:rPr>
                <w:rFonts w:ascii="Arial" w:eastAsia="Arial" w:hAnsi="Arial" w:cs="Arial"/>
              </w:rPr>
              <w:t>500</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805</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692</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617</w:t>
            </w:r>
          </w:p>
        </w:tc>
        <w:tc>
          <w:tcPr>
            <w:tcW w:w="690" w:type="dxa"/>
            <w:tcMar>
              <w:top w:w="15" w:type="dxa"/>
              <w:left w:w="15" w:type="dxa"/>
              <w:bottom w:w="15" w:type="dxa"/>
              <w:right w:w="15" w:type="dxa"/>
            </w:tcMar>
            <w:vAlign w:val="center"/>
          </w:tcPr>
          <w:p>
            <w:pPr>
              <w:rPr>
                <w:sz w:val="24"/>
                <w:szCs w:val="24"/>
              </w:rPr>
            </w:pPr>
            <w:r>
              <w:rPr>
                <w:rFonts w:ascii="Arial" w:eastAsia="Arial" w:hAnsi="Arial" w:cs="Arial"/>
              </w:rPr>
              <w:t>398</w:t>
            </w:r>
          </w:p>
        </w:tc>
        <w:tc>
          <w:tcPr>
            <w:tcW w:w="630" w:type="dxa"/>
            <w:tcMar>
              <w:top w:w="15" w:type="dxa"/>
              <w:left w:w="15" w:type="dxa"/>
              <w:bottom w:w="15" w:type="dxa"/>
              <w:right w:w="15" w:type="dxa"/>
            </w:tcMar>
            <w:vAlign w:val="center"/>
          </w:tcPr>
          <w:p>
            <w:pPr>
              <w:rPr>
                <w:sz w:val="24"/>
                <w:szCs w:val="24"/>
              </w:rPr>
            </w:pPr>
            <w:r>
              <w:rPr>
                <w:rFonts w:ascii="Arial" w:eastAsia="Arial" w:hAnsi="Arial" w:cs="Arial"/>
              </w:rPr>
              <w:t>704</w:t>
            </w:r>
          </w:p>
        </w:tc>
        <w:tc>
          <w:tcPr>
            <w:tcW w:w="720" w:type="dxa"/>
            <w:tcMar>
              <w:top w:w="15" w:type="dxa"/>
              <w:left w:w="15" w:type="dxa"/>
              <w:bottom w:w="15" w:type="dxa"/>
              <w:right w:w="15" w:type="dxa"/>
            </w:tcMar>
            <w:vAlign w:val="center"/>
          </w:tcPr>
          <w:p>
            <w:pPr>
              <w:rPr>
                <w:sz w:val="24"/>
                <w:szCs w:val="24"/>
              </w:rPr>
            </w:pPr>
            <w:r>
              <w:rPr>
                <w:rFonts w:ascii="Arial" w:eastAsia="Arial" w:hAnsi="Arial" w:cs="Arial"/>
              </w:rPr>
              <w:t>964</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980</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798</w:t>
            </w:r>
          </w:p>
        </w:tc>
      </w:tr>
      <w:tr>
        <w:tblPrEx>
          <w:tblW w:w="17235" w:type="dxa"/>
          <w:tblCellSpacing w:w="15" w:type="dxa"/>
          <w:tblInd w:w="450" w:type="dxa"/>
          <w:tblCellMar>
            <w:top w:w="15" w:type="dxa"/>
            <w:left w:w="15" w:type="dxa"/>
            <w:bottom w:w="15" w:type="dxa"/>
            <w:right w:w="15" w:type="dxa"/>
          </w:tblCellMar>
        </w:tblPrEx>
        <w:trPr>
          <w:tblCellSpacing w:w="15" w:type="dxa"/>
        </w:trPr>
        <w:tc>
          <w:tcPr>
            <w:tcW w:w="1275" w:type="dxa"/>
            <w:tcMar>
              <w:top w:w="15" w:type="dxa"/>
              <w:left w:w="15" w:type="dxa"/>
              <w:bottom w:w="15" w:type="dxa"/>
              <w:right w:w="15" w:type="dxa"/>
            </w:tcMar>
            <w:vAlign w:val="center"/>
          </w:tcPr>
          <w:p>
            <w:pPr>
              <w:rPr>
                <w:sz w:val="24"/>
                <w:szCs w:val="24"/>
              </w:rPr>
            </w:pPr>
            <w:r>
              <w:rPr>
                <w:rFonts w:ascii="Arial" w:eastAsia="Arial" w:hAnsi="Arial" w:cs="Arial"/>
              </w:rPr>
              <w:t>Pardons granted</w:t>
            </w:r>
          </w:p>
        </w:tc>
        <w:tc>
          <w:tcPr>
            <w:tcW w:w="1065" w:type="dxa"/>
            <w:tcMar>
              <w:top w:w="15" w:type="dxa"/>
              <w:left w:w="15" w:type="dxa"/>
              <w:bottom w:w="15" w:type="dxa"/>
              <w:right w:w="15" w:type="dxa"/>
            </w:tcMar>
            <w:vAlign w:val="center"/>
          </w:tcPr>
          <w:p>
            <w:pPr>
              <w:rPr>
                <w:sz w:val="24"/>
                <w:szCs w:val="24"/>
              </w:rPr>
            </w:pPr>
            <w:r>
              <w:rPr>
                <w:rFonts w:ascii="Arial" w:eastAsia="Arial" w:hAnsi="Arial" w:cs="Arial"/>
              </w:rPr>
              <w:t>158</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469</w:t>
            </w:r>
          </w:p>
        </w:tc>
        <w:tc>
          <w:tcPr>
            <w:tcW w:w="675" w:type="dxa"/>
            <w:tcMar>
              <w:top w:w="15" w:type="dxa"/>
              <w:left w:w="15" w:type="dxa"/>
              <w:bottom w:w="15" w:type="dxa"/>
              <w:right w:w="15" w:type="dxa"/>
            </w:tcMar>
            <w:vAlign w:val="center"/>
          </w:tcPr>
          <w:p>
            <w:pPr>
              <w:rPr>
                <w:sz w:val="24"/>
                <w:szCs w:val="24"/>
              </w:rPr>
            </w:pPr>
            <w:r>
              <w:rPr>
                <w:rFonts w:ascii="Arial" w:eastAsia="Arial" w:hAnsi="Arial" w:cs="Arial"/>
              </w:rPr>
              <w:t>410</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689</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578</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511</w:t>
            </w:r>
          </w:p>
        </w:tc>
        <w:tc>
          <w:tcPr>
            <w:tcW w:w="690" w:type="dxa"/>
            <w:tcMar>
              <w:top w:w="15" w:type="dxa"/>
              <w:left w:w="15" w:type="dxa"/>
              <w:bottom w:w="15" w:type="dxa"/>
              <w:right w:w="15" w:type="dxa"/>
            </w:tcMar>
            <w:vAlign w:val="center"/>
          </w:tcPr>
          <w:p>
            <w:pPr>
              <w:rPr>
                <w:sz w:val="24"/>
                <w:szCs w:val="24"/>
              </w:rPr>
            </w:pPr>
            <w:r>
              <w:rPr>
                <w:rFonts w:ascii="Arial" w:eastAsia="Arial" w:hAnsi="Arial" w:cs="Arial"/>
              </w:rPr>
              <w:t>312</w:t>
            </w:r>
          </w:p>
        </w:tc>
        <w:tc>
          <w:tcPr>
            <w:tcW w:w="630" w:type="dxa"/>
            <w:tcMar>
              <w:top w:w="15" w:type="dxa"/>
              <w:left w:w="15" w:type="dxa"/>
              <w:bottom w:w="15" w:type="dxa"/>
              <w:right w:w="15" w:type="dxa"/>
            </w:tcMar>
            <w:vAlign w:val="center"/>
          </w:tcPr>
          <w:p>
            <w:pPr>
              <w:rPr>
                <w:sz w:val="24"/>
                <w:szCs w:val="24"/>
              </w:rPr>
            </w:pPr>
            <w:r>
              <w:rPr>
                <w:rFonts w:ascii="Arial" w:eastAsia="Arial" w:hAnsi="Arial" w:cs="Arial"/>
              </w:rPr>
              <w:t>565</w:t>
            </w:r>
          </w:p>
        </w:tc>
        <w:tc>
          <w:tcPr>
            <w:tcW w:w="720" w:type="dxa"/>
            <w:tcMar>
              <w:top w:w="15" w:type="dxa"/>
              <w:left w:w="15" w:type="dxa"/>
              <w:bottom w:w="15" w:type="dxa"/>
              <w:right w:w="15" w:type="dxa"/>
            </w:tcMar>
            <w:vAlign w:val="center"/>
          </w:tcPr>
          <w:p>
            <w:pPr>
              <w:rPr>
                <w:sz w:val="24"/>
                <w:szCs w:val="24"/>
              </w:rPr>
            </w:pPr>
            <w:r>
              <w:rPr>
                <w:rFonts w:ascii="Arial" w:eastAsia="Arial" w:hAnsi="Arial" w:cs="Arial"/>
              </w:rPr>
              <w:t>734</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753</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657</w:t>
            </w:r>
          </w:p>
        </w:tc>
      </w:tr>
      <w:tr>
        <w:tblPrEx>
          <w:tblW w:w="17235" w:type="dxa"/>
          <w:tblCellSpacing w:w="15" w:type="dxa"/>
          <w:tblInd w:w="450" w:type="dxa"/>
          <w:tblCellMar>
            <w:top w:w="15" w:type="dxa"/>
            <w:left w:w="15" w:type="dxa"/>
            <w:bottom w:w="15" w:type="dxa"/>
            <w:right w:w="15" w:type="dxa"/>
          </w:tblCellMar>
        </w:tblPrEx>
        <w:trPr>
          <w:tblCellSpacing w:w="15" w:type="dxa"/>
        </w:trPr>
        <w:tc>
          <w:tcPr>
            <w:tcW w:w="1275" w:type="dxa"/>
            <w:tcMar>
              <w:top w:w="15" w:type="dxa"/>
              <w:left w:w="15" w:type="dxa"/>
              <w:bottom w:w="15" w:type="dxa"/>
              <w:right w:w="15" w:type="dxa"/>
            </w:tcMar>
            <w:vAlign w:val="center"/>
          </w:tcPr>
          <w:p>
            <w:pPr>
              <w:rPr>
                <w:sz w:val="24"/>
                <w:szCs w:val="24"/>
              </w:rPr>
            </w:pPr>
            <w:r>
              <w:rPr>
                <w:rFonts w:ascii="Arial" w:eastAsia="Arial" w:hAnsi="Arial" w:cs="Arial"/>
              </w:rPr>
              <w:t>Pardons denied</w:t>
            </w:r>
          </w:p>
        </w:tc>
        <w:tc>
          <w:tcPr>
            <w:tcW w:w="1065" w:type="dxa"/>
            <w:tcMar>
              <w:top w:w="15" w:type="dxa"/>
              <w:left w:w="15" w:type="dxa"/>
              <w:bottom w:w="15" w:type="dxa"/>
              <w:right w:w="15" w:type="dxa"/>
            </w:tcMar>
            <w:vAlign w:val="center"/>
          </w:tcPr>
          <w:p>
            <w:pPr>
              <w:rPr>
                <w:sz w:val="24"/>
                <w:szCs w:val="24"/>
              </w:rPr>
            </w:pPr>
            <w:r>
              <w:rPr>
                <w:rFonts w:ascii="Arial" w:eastAsia="Arial" w:hAnsi="Arial" w:cs="Arial"/>
              </w:rPr>
              <w:t>64</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 </w:t>
            </w:r>
          </w:p>
        </w:tc>
        <w:tc>
          <w:tcPr>
            <w:tcW w:w="675" w:type="dxa"/>
            <w:tcMar>
              <w:top w:w="15" w:type="dxa"/>
              <w:left w:w="15" w:type="dxa"/>
              <w:bottom w:w="15" w:type="dxa"/>
              <w:right w:w="15" w:type="dxa"/>
            </w:tcMar>
            <w:vAlign w:val="center"/>
          </w:tcPr>
          <w:p>
            <w:pPr>
              <w:rPr>
                <w:sz w:val="24"/>
                <w:szCs w:val="24"/>
              </w:rPr>
            </w:pPr>
            <w:r>
              <w:rPr>
                <w:rFonts w:ascii="Arial" w:eastAsia="Arial" w:hAnsi="Arial" w:cs="Arial"/>
              </w:rPr>
              <w:t>90</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116</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114</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106</w:t>
            </w:r>
          </w:p>
        </w:tc>
        <w:tc>
          <w:tcPr>
            <w:tcW w:w="690" w:type="dxa"/>
            <w:tcMar>
              <w:top w:w="15" w:type="dxa"/>
              <w:left w:w="15" w:type="dxa"/>
              <w:bottom w:w="15" w:type="dxa"/>
              <w:right w:w="15" w:type="dxa"/>
            </w:tcMar>
            <w:vAlign w:val="center"/>
          </w:tcPr>
          <w:p>
            <w:pPr>
              <w:rPr>
                <w:sz w:val="24"/>
                <w:szCs w:val="24"/>
              </w:rPr>
            </w:pPr>
            <w:r>
              <w:rPr>
                <w:rFonts w:ascii="Arial" w:eastAsia="Arial" w:hAnsi="Arial" w:cs="Arial"/>
              </w:rPr>
              <w:t>86</w:t>
            </w:r>
          </w:p>
        </w:tc>
        <w:tc>
          <w:tcPr>
            <w:tcW w:w="630" w:type="dxa"/>
            <w:tcMar>
              <w:top w:w="15" w:type="dxa"/>
              <w:left w:w="15" w:type="dxa"/>
              <w:bottom w:w="15" w:type="dxa"/>
              <w:right w:w="15" w:type="dxa"/>
            </w:tcMar>
            <w:vAlign w:val="center"/>
          </w:tcPr>
          <w:p>
            <w:pPr>
              <w:rPr>
                <w:sz w:val="24"/>
                <w:szCs w:val="24"/>
              </w:rPr>
            </w:pPr>
            <w:r>
              <w:rPr>
                <w:rFonts w:ascii="Arial" w:eastAsia="Arial" w:hAnsi="Arial" w:cs="Arial"/>
              </w:rPr>
              <w:t>139</w:t>
            </w:r>
          </w:p>
        </w:tc>
        <w:tc>
          <w:tcPr>
            <w:tcW w:w="720" w:type="dxa"/>
            <w:tcMar>
              <w:top w:w="15" w:type="dxa"/>
              <w:left w:w="15" w:type="dxa"/>
              <w:bottom w:w="15" w:type="dxa"/>
              <w:right w:w="15" w:type="dxa"/>
            </w:tcMar>
            <w:vAlign w:val="center"/>
          </w:tcPr>
          <w:p>
            <w:pPr>
              <w:rPr>
                <w:sz w:val="24"/>
                <w:szCs w:val="24"/>
              </w:rPr>
            </w:pPr>
            <w:r>
              <w:rPr>
                <w:rFonts w:ascii="Arial" w:eastAsia="Arial" w:hAnsi="Arial" w:cs="Arial"/>
              </w:rPr>
              <w:t>230</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227</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141</w:t>
            </w:r>
          </w:p>
        </w:tc>
      </w:tr>
      <w:tr>
        <w:tblPrEx>
          <w:tblW w:w="17235" w:type="dxa"/>
          <w:tblCellSpacing w:w="15" w:type="dxa"/>
          <w:tblInd w:w="450" w:type="dxa"/>
          <w:tblCellMar>
            <w:top w:w="15" w:type="dxa"/>
            <w:left w:w="15" w:type="dxa"/>
            <w:bottom w:w="15" w:type="dxa"/>
            <w:right w:w="15" w:type="dxa"/>
          </w:tblCellMar>
        </w:tblPrEx>
        <w:trPr>
          <w:tblCellSpacing w:w="15" w:type="dxa"/>
        </w:trPr>
        <w:tc>
          <w:tcPr>
            <w:tcW w:w="1275" w:type="dxa"/>
            <w:tcMar>
              <w:top w:w="15" w:type="dxa"/>
              <w:left w:w="15" w:type="dxa"/>
              <w:bottom w:w="15" w:type="dxa"/>
              <w:right w:w="15" w:type="dxa"/>
            </w:tcMar>
            <w:vAlign w:val="center"/>
          </w:tcPr>
          <w:p>
            <w:pPr>
              <w:rPr>
                <w:sz w:val="24"/>
                <w:szCs w:val="24"/>
              </w:rPr>
            </w:pPr>
            <w:r>
              <w:rPr>
                <w:rFonts w:ascii="Arial" w:eastAsia="Arial" w:hAnsi="Arial" w:cs="Arial"/>
              </w:rPr>
              <w:t>Voting rights restored</w:t>
            </w:r>
          </w:p>
        </w:tc>
        <w:tc>
          <w:tcPr>
            <w:tcW w:w="1065" w:type="dxa"/>
            <w:tcMar>
              <w:top w:w="15" w:type="dxa"/>
              <w:left w:w="15" w:type="dxa"/>
              <w:bottom w:w="15" w:type="dxa"/>
              <w:right w:w="15" w:type="dxa"/>
            </w:tcMar>
            <w:vAlign w:val="center"/>
          </w:tcPr>
          <w:p>
            <w:pPr>
              <w:rPr>
                <w:sz w:val="24"/>
                <w:szCs w:val="24"/>
              </w:rPr>
            </w:pPr>
            <w:r>
              <w:rPr>
                <w:rFonts w:ascii="Arial" w:eastAsia="Arial" w:hAnsi="Arial" w:cs="Arial"/>
              </w:rPr>
              <w:t>2608 (includes 2003)</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1233</w:t>
            </w:r>
          </w:p>
        </w:tc>
        <w:tc>
          <w:tcPr>
            <w:tcW w:w="675" w:type="dxa"/>
            <w:tcMar>
              <w:top w:w="15" w:type="dxa"/>
              <w:left w:w="15" w:type="dxa"/>
              <w:bottom w:w="15" w:type="dxa"/>
              <w:right w:w="15" w:type="dxa"/>
            </w:tcMar>
            <w:vAlign w:val="center"/>
          </w:tcPr>
          <w:p>
            <w:pPr>
              <w:rPr>
                <w:sz w:val="24"/>
                <w:szCs w:val="24"/>
              </w:rPr>
            </w:pPr>
            <w:r>
              <w:rPr>
                <w:rFonts w:ascii="Arial" w:eastAsia="Arial" w:hAnsi="Arial" w:cs="Arial"/>
              </w:rPr>
              <w:t>771</w:t>
            </w:r>
          </w:p>
        </w:tc>
        <w:tc>
          <w:tcPr>
            <w:tcW w:w="765" w:type="dxa"/>
            <w:tcMar>
              <w:top w:w="15" w:type="dxa"/>
              <w:left w:w="15" w:type="dxa"/>
              <w:bottom w:w="15" w:type="dxa"/>
              <w:right w:w="15" w:type="dxa"/>
            </w:tcMar>
            <w:vAlign w:val="center"/>
          </w:tcPr>
          <w:p>
            <w:pPr>
              <w:rPr>
                <w:sz w:val="24"/>
                <w:szCs w:val="24"/>
              </w:rPr>
            </w:pPr>
            <w:r>
              <w:rPr>
                <w:rFonts w:ascii="Arial" w:eastAsia="Arial" w:hAnsi="Arial" w:cs="Arial"/>
              </w:rPr>
              <w:t>1709</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3017</w:t>
            </w:r>
          </w:p>
        </w:tc>
        <w:tc>
          <w:tcPr>
            <w:tcW w:w="750" w:type="dxa"/>
            <w:tcMar>
              <w:top w:w="15" w:type="dxa"/>
              <w:left w:w="15" w:type="dxa"/>
              <w:bottom w:w="15" w:type="dxa"/>
              <w:right w:w="15" w:type="dxa"/>
            </w:tcMar>
            <w:vAlign w:val="center"/>
          </w:tcPr>
          <w:p>
            <w:pPr>
              <w:rPr>
                <w:sz w:val="24"/>
                <w:szCs w:val="24"/>
              </w:rPr>
            </w:pPr>
            <w:r>
              <w:rPr>
                <w:rFonts w:ascii="Arial" w:eastAsia="Arial" w:hAnsi="Arial" w:cs="Arial"/>
              </w:rPr>
              <w:t>3423</w:t>
            </w:r>
          </w:p>
        </w:tc>
        <w:tc>
          <w:tcPr>
            <w:tcW w:w="690" w:type="dxa"/>
            <w:tcMar>
              <w:top w:w="15" w:type="dxa"/>
              <w:left w:w="15" w:type="dxa"/>
              <w:bottom w:w="15" w:type="dxa"/>
              <w:right w:w="15" w:type="dxa"/>
            </w:tcMar>
            <w:vAlign w:val="center"/>
          </w:tcPr>
          <w:p>
            <w:pPr>
              <w:rPr>
                <w:sz w:val="24"/>
                <w:szCs w:val="24"/>
              </w:rPr>
            </w:pPr>
            <w:r>
              <w:rPr>
                <w:rFonts w:ascii="Arial" w:eastAsia="Arial" w:hAnsi="Arial" w:cs="Arial"/>
              </w:rPr>
              <w:t>673</w:t>
            </w:r>
          </w:p>
        </w:tc>
        <w:tc>
          <w:tcPr>
            <w:tcW w:w="630" w:type="dxa"/>
            <w:tcMar>
              <w:top w:w="15" w:type="dxa"/>
              <w:left w:w="15" w:type="dxa"/>
              <w:bottom w:w="15" w:type="dxa"/>
              <w:right w:w="15" w:type="dxa"/>
            </w:tcMar>
            <w:vAlign w:val="center"/>
          </w:tcPr>
          <w:p>
            <w:pPr>
              <w:rPr>
                <w:sz w:val="24"/>
                <w:szCs w:val="24"/>
              </w:rPr>
            </w:pPr>
            <w:r>
              <w:rPr>
                <w:rFonts w:ascii="Arial" w:eastAsia="Arial" w:hAnsi="Arial" w:cs="Arial"/>
              </w:rPr>
              <w:t>625</w:t>
            </w:r>
          </w:p>
        </w:tc>
        <w:tc>
          <w:tcPr>
            <w:tcW w:w="720" w:type="dxa"/>
            <w:tcMar>
              <w:top w:w="15" w:type="dxa"/>
              <w:left w:w="15" w:type="dxa"/>
              <w:bottom w:w="15" w:type="dxa"/>
              <w:right w:w="15" w:type="dxa"/>
            </w:tcMar>
            <w:vAlign w:val="center"/>
          </w:tcPr>
          <w:p>
            <w:pPr>
              <w:rPr>
                <w:sz w:val="24"/>
                <w:szCs w:val="24"/>
              </w:rPr>
            </w:pPr>
            <w:r>
              <w:rPr>
                <w:rFonts w:ascii="Arial" w:eastAsia="Arial" w:hAnsi="Arial" w:cs="Arial"/>
              </w:rPr>
              <w:t>762</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843</w:t>
            </w:r>
          </w:p>
        </w:tc>
        <w:tc>
          <w:tcPr>
            <w:tcW w:w="570" w:type="dxa"/>
            <w:tcMar>
              <w:top w:w="15" w:type="dxa"/>
              <w:left w:w="15" w:type="dxa"/>
              <w:bottom w:w="15" w:type="dxa"/>
              <w:right w:w="15" w:type="dxa"/>
            </w:tcMar>
            <w:vAlign w:val="center"/>
          </w:tcPr>
          <w:p>
            <w:pPr>
              <w:rPr>
                <w:sz w:val="24"/>
                <w:szCs w:val="24"/>
              </w:rPr>
            </w:pPr>
            <w:r>
              <w:rPr>
                <w:rFonts w:ascii="Arial" w:eastAsia="Arial" w:hAnsi="Arial" w:cs="Arial"/>
              </w:rPr>
              <w:t>522</w:t>
            </w:r>
          </w:p>
        </w:tc>
      </w:tr>
    </w:tbl>
    <w:p>
      <w:pPr>
        <w:pBdr>
          <w:left w:val="none" w:sz="0" w:space="31" w:color="auto"/>
        </w:pBdr>
        <w:spacing w:before="240" w:after="240"/>
        <w:ind w:left="2700"/>
        <w:jc w:val="center"/>
        <w:rPr>
          <w:sz w:val="24"/>
          <w:szCs w:val="24"/>
        </w:rPr>
      </w:pPr>
      <w:r>
        <w:rPr>
          <w:rFonts w:ascii="Arial" w:eastAsia="Arial" w:hAnsi="Arial" w:cs="Arial"/>
          <w:i/>
          <w:iCs/>
          <w:sz w:val="18"/>
          <w:szCs w:val="18"/>
        </w:rPr>
        <w:t xml:space="preserve"> Source: </w:t>
      </w:r>
      <w:r>
        <w:rPr>
          <w:rFonts w:ascii="Arial" w:eastAsia="Arial" w:hAnsi="Arial" w:cs="Arial"/>
          <w:i/>
          <w:iCs/>
          <w:sz w:val="18"/>
          <w:szCs w:val="18"/>
        </w:rPr>
        <w:fldChar w:fldCharType="begin"/>
      </w:r>
      <w:r>
        <w:rPr>
          <w:rFonts w:ascii="Arial" w:eastAsia="Arial" w:hAnsi="Arial" w:cs="Arial"/>
          <w:i/>
          <w:iCs/>
          <w:sz w:val="18"/>
          <w:szCs w:val="18"/>
        </w:rPr>
        <w:instrText xml:space="preserve"> HYPERLINK "http://www.pardons.state.al.us/" </w:instrText>
      </w:r>
      <w:r>
        <w:rPr>
          <w:rFonts w:ascii="Arial" w:eastAsia="Arial" w:hAnsi="Arial" w:cs="Arial"/>
          <w:i/>
          <w:iCs/>
          <w:sz w:val="18"/>
          <w:szCs w:val="18"/>
        </w:rPr>
        <w:fldChar w:fldCharType="separate"/>
      </w:r>
      <w:r>
        <w:rPr>
          <w:rFonts w:ascii="Arial" w:eastAsia="Arial" w:hAnsi="Arial" w:cs="Arial"/>
          <w:i/>
          <w:iCs/>
          <w:color w:val="0000EE"/>
          <w:sz w:val="18"/>
          <w:szCs w:val="18"/>
          <w:u w:val="single"/>
        </w:rPr>
        <w:t>Annual Reports of the Alabama Parole Board.</w:t>
      </w:r>
      <w:r>
        <w:rPr>
          <w:rFonts w:ascii="Arial" w:eastAsia="Arial" w:hAnsi="Arial" w:cs="Arial"/>
          <w:i/>
          <w:iCs/>
          <w:color w:val="0000EE"/>
          <w:sz w:val="18"/>
          <w:szCs w:val="18"/>
          <w:u w:val="single"/>
        </w:rPr>
        <w:fldChar w:fldCharType="end"/>
      </w:r>
      <w:r>
        <w:rPr>
          <w:rFonts w:ascii="Arial" w:eastAsia="Arial" w:hAnsi="Arial" w:cs="Arial"/>
          <w:i/>
          <w:iCs/>
          <w:sz w:val="18"/>
          <w:szCs w:val="18"/>
        </w:rPr>
        <w:t> </w:t>
      </w:r>
    </w:p>
    <w:p>
      <w:pPr>
        <w:pStyle w:val="Heading6"/>
        <w:pBdr>
          <w:left w:val="none" w:sz="0" w:space="31" w:color="auto"/>
        </w:pBdr>
        <w:spacing w:before="375" w:after="375"/>
        <w:ind w:left="900"/>
        <w:jc w:val="left"/>
        <w:outlineLvl w:val="9"/>
        <w:rPr>
          <w:b/>
          <w:bCs/>
          <w:sz w:val="16"/>
          <w:szCs w:val="16"/>
        </w:rPr>
      </w:pPr>
      <w:r>
        <w:rPr>
          <w:rFonts w:ascii="Arial" w:eastAsia="Arial" w:hAnsi="Arial" w:cs="Arial"/>
          <w:i/>
          <w:iCs/>
        </w:rPr>
        <w:t>Contact</w:t>
      </w:r>
    </w:p>
    <w:p>
      <w:pPr>
        <w:pBdr>
          <w:left w:val="none" w:sz="0" w:space="31" w:color="auto"/>
        </w:pBdr>
        <w:spacing w:before="240" w:after="240"/>
        <w:ind w:left="1350"/>
        <w:rPr>
          <w:sz w:val="24"/>
          <w:szCs w:val="24"/>
        </w:rPr>
      </w:pPr>
      <w:r>
        <w:fldChar w:fldCharType="begin"/>
      </w:r>
      <w:r>
        <w:instrText xml:space="preserve"> HYPERLINK "mailto:Cook@alabpp.gov" </w:instrText>
      </w:r>
      <w:r>
        <w:fldChar w:fldCharType="separate"/>
      </w:r>
      <w:r>
        <w:rPr>
          <w:rFonts w:ascii="Arial" w:eastAsia="Arial" w:hAnsi="Arial" w:cs="Arial"/>
          <w:color w:val="0000EE"/>
          <w:u w:val="single"/>
        </w:rPr>
        <w:t>Eddie Cook, Jr.</w:t>
      </w:r>
      <w:r>
        <w:rPr>
          <w:rFonts w:ascii="Arial" w:eastAsia="Arial" w:hAnsi="Arial" w:cs="Arial"/>
          <w:color w:val="0000EE"/>
          <w:u w:val="single"/>
        </w:rPr>
        <w:fldChar w:fldCharType="end"/>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HYPERLINK "mailto:Robert.Oakes@alabpp.gov" </w:instrText>
      </w:r>
      <w:r>
        <w:rPr>
          <w:rFonts w:ascii="Arial" w:eastAsia="Arial" w:hAnsi="Arial" w:cs="Arial"/>
        </w:rPr>
        <w:fldChar w:fldCharType="separate"/>
      </w:r>
      <w:r>
        <w:rPr>
          <w:rFonts w:ascii="Arial" w:eastAsia="Arial" w:hAnsi="Arial" w:cs="Arial"/>
        </w:rPr>
        <w:br/>
      </w:r>
      <w:r>
        <w:rPr>
          <w:rFonts w:ascii="Arial" w:eastAsia="Arial" w:hAnsi="Arial" w:cs="Arial"/>
        </w:rPr>
        <w:fldChar w:fldCharType="end"/>
      </w:r>
      <w:r>
        <w:rPr>
          <w:rFonts w:ascii="Arial" w:eastAsia="Arial" w:hAnsi="Arial" w:cs="Arial"/>
        </w:rPr>
        <w:fldChar w:fldCharType="begin"/>
      </w:r>
      <w:r>
        <w:rPr>
          <w:rFonts w:ascii="Arial" w:eastAsia="Arial" w:hAnsi="Arial" w:cs="Arial"/>
        </w:rPr>
        <w:instrText xml:space="preserve"> HYPERLINK "mailto:questions4pardonsandparoles@alabpp.gov" </w:instrText>
      </w:r>
      <w:r>
        <w:rPr>
          <w:rFonts w:ascii="Arial" w:eastAsia="Arial" w:hAnsi="Arial" w:cs="Arial"/>
        </w:rPr>
        <w:fldChar w:fldCharType="separate"/>
      </w:r>
      <w:r>
        <w:rPr>
          <w:rFonts w:ascii="Arial" w:eastAsia="Arial" w:hAnsi="Arial" w:cs="Arial"/>
          <w:color w:val="0000EE"/>
          <w:u w:val="single"/>
        </w:rPr>
        <w:t>questions4pardonsandparoles@alabpp.gov</w:t>
      </w:r>
      <w:r>
        <w:rPr>
          <w:rFonts w:ascii="Arial" w:eastAsia="Arial" w:hAnsi="Arial" w:cs="Arial"/>
          <w:color w:val="0000EE"/>
          <w:u w:val="single"/>
        </w:rPr>
        <w:br/>
      </w:r>
      <w:r>
        <w:rPr>
          <w:rFonts w:ascii="Arial" w:eastAsia="Arial" w:hAnsi="Arial" w:cs="Arial"/>
          <w:color w:val="0000EE"/>
          <w:u w:val="single"/>
        </w:rPr>
        <w:fldChar w:fldCharType="end"/>
      </w:r>
      <w:r>
        <w:rPr>
          <w:rFonts w:ascii="Arial" w:eastAsia="Arial" w:hAnsi="Arial" w:cs="Arial"/>
        </w:rPr>
        <w:t>Alabama Board of Pardons and Parole, PO Box 302405</w:t>
      </w:r>
      <w:r>
        <w:rPr>
          <w:rFonts w:ascii="Arial" w:eastAsia="Arial" w:hAnsi="Arial" w:cs="Arial"/>
        </w:rPr>
        <w:br/>
      </w:r>
      <w:r>
        <w:rPr>
          <w:rFonts w:ascii="Arial" w:eastAsia="Arial" w:hAnsi="Arial" w:cs="Arial"/>
        </w:rPr>
        <w:t>Montgomery, AL 36130</w:t>
      </w:r>
      <w:r>
        <w:rPr>
          <w:rFonts w:ascii="Arial" w:eastAsia="Arial" w:hAnsi="Arial" w:cs="Arial"/>
        </w:rPr>
        <w:br/>
      </w:r>
      <w:r>
        <w:rPr>
          <w:rFonts w:ascii="Arial" w:eastAsia="Arial" w:hAnsi="Arial" w:cs="Arial"/>
        </w:rPr>
        <w:t>Tel: (334) 353-7771, 353-8067</w:t>
      </w:r>
    </w:p>
    <w:p>
      <w:pPr>
        <w:pBdr>
          <w:left w:val="none" w:sz="0" w:space="31" w:color="auto"/>
        </w:pBdr>
        <w:spacing w:before="240" w:after="240"/>
        <w:ind w:left="1350"/>
        <w:rPr>
          <w:sz w:val="24"/>
          <w:szCs w:val="24"/>
        </w:rPr>
      </w:pPr>
      <w:r>
        <w:rPr>
          <w:rFonts w:ascii="Arial" w:eastAsia="Arial" w:hAnsi="Arial" w:cs="Arial"/>
        </w:rPr>
        <w:t> </w:t>
      </w:r>
    </w:p>
    <w:p>
      <w:pPr>
        <w:pStyle w:val="Heading5"/>
        <w:pBdr>
          <w:left w:val="none" w:sz="0" w:space="22" w:color="auto"/>
        </w:pBdr>
        <w:spacing w:before="333" w:after="333"/>
        <w:ind w:left="450"/>
        <w:outlineLvl w:val="9"/>
        <w:rPr>
          <w:b/>
          <w:bCs/>
          <w:sz w:val="20"/>
          <w:szCs w:val="20"/>
        </w:rPr>
      </w:pPr>
      <w:r>
        <w:rPr>
          <w:rFonts w:ascii="Arial" w:eastAsia="Arial" w:hAnsi="Arial" w:cs="Arial"/>
          <w:i w:val="0"/>
          <w:iCs w:val="0"/>
        </w:rPr>
        <w:t>B.  Judicial sealing or expungement</w:t>
      </w:r>
    </w:p>
    <w:p>
      <w:pPr>
        <w:pBdr>
          <w:left w:val="none" w:sz="0" w:space="31" w:color="auto"/>
        </w:pBdr>
        <w:spacing w:before="240" w:after="240"/>
        <w:ind w:left="900"/>
        <w:rPr>
          <w:sz w:val="24"/>
          <w:szCs w:val="24"/>
        </w:rPr>
      </w:pPr>
      <w:r>
        <w:rPr>
          <w:rFonts w:ascii="Arial" w:eastAsia="Arial" w:hAnsi="Arial" w:cs="Arial"/>
        </w:rPr>
        <w:t> </w:t>
      </w:r>
    </w:p>
    <w:p>
      <w:pPr>
        <w:pStyle w:val="Heading6"/>
        <w:pBdr>
          <w:left w:val="none" w:sz="0" w:space="31" w:color="auto"/>
        </w:pBdr>
        <w:spacing w:before="375" w:after="375"/>
        <w:ind w:left="900"/>
        <w:outlineLvl w:val="9"/>
        <w:rPr>
          <w:b/>
          <w:bCs/>
          <w:sz w:val="16"/>
          <w:szCs w:val="16"/>
        </w:rPr>
      </w:pPr>
      <w:r>
        <w:rPr>
          <w:rFonts w:ascii="Arial" w:eastAsia="Arial" w:hAnsi="Arial" w:cs="Arial"/>
          <w:i/>
          <w:iCs/>
        </w:rPr>
        <w:t>Conviction records</w:t>
      </w:r>
    </w:p>
    <w:p>
      <w:pPr>
        <w:pBdr>
          <w:left w:val="none" w:sz="0" w:space="31" w:color="auto"/>
        </w:pBdr>
        <w:spacing w:before="240" w:after="240"/>
        <w:ind w:left="1350"/>
        <w:rPr>
          <w:sz w:val="24"/>
          <w:szCs w:val="24"/>
        </w:rPr>
      </w:pPr>
      <w:r>
        <w:rPr>
          <w:rFonts w:ascii="Arial" w:eastAsia="Arial" w:hAnsi="Arial" w:cs="Arial"/>
        </w:rPr>
        <w:t>Alabama law contains no statutory provision for expungement or sealing of adult conviction records.</w:t>
      </w:r>
    </w:p>
    <w:p>
      <w:pPr>
        <w:pBdr>
          <w:left w:val="none" w:sz="0" w:space="31" w:color="auto"/>
        </w:pBdr>
        <w:spacing w:before="240" w:after="240"/>
        <w:ind w:left="1350"/>
        <w:rPr>
          <w:sz w:val="24"/>
          <w:szCs w:val="24"/>
        </w:rPr>
      </w:pPr>
      <w:r>
        <w:rPr>
          <w:rFonts w:ascii="Arial" w:eastAsia="Arial" w:hAnsi="Arial" w:cs="Arial"/>
        </w:rPr>
        <w:t xml:space="preserve">Despite the absence of statutory expungement authority for adult criminal records, municipal courts in the recent past appear to have regularly exercised a common law expungement authority.  </w:t>
      </w:r>
      <w:r>
        <w:rPr>
          <w:rFonts w:ascii="Arial" w:eastAsia="Arial" w:hAnsi="Arial" w:cs="Arial"/>
          <w:i/>
          <w:iCs/>
        </w:rPr>
        <w:t>See</w:t>
      </w:r>
      <w:r>
        <w:rPr>
          <w:rFonts w:ascii="Arial" w:eastAsia="Arial" w:hAnsi="Arial" w:cs="Arial"/>
        </w:rPr>
        <w:t xml:space="preserve"> Kristin K. Hensen, Can You Make This Go Away:  Alabama’s Inconsistent Approach to Expunging Criminal Records, 35 Cumb. L. Rev. 385 (2005). </w:t>
      </w:r>
      <w:r>
        <w:rPr>
          <w:rFonts w:ascii="Arial" w:eastAsia="Arial" w:hAnsi="Arial" w:cs="Arial"/>
          <w:i/>
          <w:iCs/>
        </w:rPr>
        <w:t xml:space="preserve"> See also</w:t>
      </w:r>
      <w:r>
        <w:rPr>
          <w:rFonts w:ascii="Arial" w:eastAsia="Arial" w:hAnsi="Arial" w:cs="Arial"/>
        </w:rPr>
        <w:t xml:space="preserve"> “All Expunged Cases Should be Made Public,” Mobile Register, July 13, 2005.  Concerning the municipal courts, the Alabama Attorney General has stated in an informal opinion that “(t)here is nothing in the Constitution of Alabama 1901 or the Alabama Code granting municipal courts the power to expunge records.”  </w:t>
      </w:r>
      <w:r>
        <w:rPr>
          <w:rFonts w:ascii="Arial" w:eastAsia="Arial" w:hAnsi="Arial" w:cs="Arial"/>
        </w:rPr>
        <w:fldChar w:fldCharType="begin"/>
      </w:r>
      <w:r>
        <w:rPr>
          <w:rFonts w:ascii="Arial" w:eastAsia="Arial" w:hAnsi="Arial" w:cs="Arial"/>
        </w:rPr>
        <w:instrText xml:space="preserve"> HYPERLINK "http://www.ago.state.al.us/oldopinions/8800410.pdf" </w:instrText>
      </w:r>
      <w:r>
        <w:rPr>
          <w:rFonts w:ascii="Arial" w:eastAsia="Arial" w:hAnsi="Arial" w:cs="Arial"/>
        </w:rPr>
        <w:fldChar w:fldCharType="separate"/>
      </w:r>
      <w:r>
        <w:rPr>
          <w:rFonts w:ascii="Arial" w:eastAsia="Arial" w:hAnsi="Arial" w:cs="Arial"/>
          <w:color w:val="0000EE"/>
          <w:u w:val="single"/>
        </w:rPr>
        <w:t>88-00410 Op. Ala. Att’y Gen. (1988)</w:t>
      </w:r>
      <w:r>
        <w:rPr>
          <w:rFonts w:ascii="Arial" w:eastAsia="Arial" w:hAnsi="Arial" w:cs="Arial"/>
          <w:color w:val="0000EE"/>
          <w:u w:val="single"/>
        </w:rPr>
        <w:fldChar w:fldCharType="end"/>
      </w:r>
      <w:r>
        <w:rPr>
          <w:rFonts w:ascii="Arial" w:eastAsia="Arial" w:hAnsi="Arial" w:cs="Arial"/>
        </w:rPr>
        <w:t>.  Persons seeking expungement have sometimes relied upon statutes authorizing individuals to bring a court challenge to “inaccurate or incomplete” records.  </w:t>
      </w:r>
      <w:r>
        <w:rPr>
          <w:rFonts w:ascii="Arial" w:eastAsia="Arial" w:hAnsi="Arial" w:cs="Arial"/>
        </w:rPr>
        <w:fldChar w:fldCharType="begin"/>
      </w:r>
      <w:r>
        <w:rPr>
          <w:rFonts w:ascii="Arial" w:eastAsia="Arial" w:hAnsi="Arial" w:cs="Arial"/>
        </w:rPr>
        <w:instrText xml:space="preserve"> HYPERLINK "http://law.justia.com/codes/alabama/2015/title-41/chapter-9/article-23/division-2/" </w:instrText>
      </w:r>
      <w:r>
        <w:rPr>
          <w:rFonts w:ascii="Arial" w:eastAsia="Arial" w:hAnsi="Arial" w:cs="Arial"/>
        </w:rPr>
        <w:fldChar w:fldCharType="separate"/>
      </w:r>
      <w:r>
        <w:rPr>
          <w:rFonts w:ascii="Arial" w:eastAsia="Arial" w:hAnsi="Arial" w:cs="Arial"/>
          <w:color w:val="0000EE"/>
          <w:u w:val="single"/>
        </w:rPr>
        <w:t>Ala. Code § 41-9-645</w:t>
      </w:r>
      <w:r>
        <w:rPr>
          <w:rFonts w:ascii="Arial" w:eastAsia="Arial" w:hAnsi="Arial" w:cs="Arial"/>
          <w:color w:val="0000EE"/>
          <w:u w:val="single"/>
        </w:rPr>
        <w:fldChar w:fldCharType="end"/>
      </w:r>
      <w:r>
        <w:rPr>
          <w:rFonts w:ascii="Arial" w:eastAsia="Arial" w:hAnsi="Arial" w:cs="Arial"/>
        </w:rPr>
        <w:t xml:space="preserve">.  A court may order a record “appropriately purged, modified or supplemented by an explanatory notation” if the record is found to be “inaccurate, incomplete or misleading.” </w:t>
      </w:r>
      <w:r>
        <w:rPr>
          <w:rFonts w:ascii="Arial" w:eastAsia="Arial" w:hAnsi="Arial" w:cs="Arial"/>
        </w:rPr>
        <w:fldChar w:fldCharType="begin"/>
      </w:r>
      <w:r>
        <w:rPr>
          <w:rFonts w:ascii="Arial" w:eastAsia="Arial" w:hAnsi="Arial" w:cs="Arial"/>
        </w:rPr>
        <w:instrText xml:space="preserve"> HYPERLINK "http://law.justia.com/codes/alabama/2015/title-41/chapter-9/article-23/division-2/" </w:instrText>
      </w:r>
      <w:r>
        <w:rPr>
          <w:rFonts w:ascii="Arial" w:eastAsia="Arial" w:hAnsi="Arial" w:cs="Arial"/>
        </w:rPr>
        <w:fldChar w:fldCharType="separate"/>
      </w:r>
      <w:r>
        <w:rPr>
          <w:rFonts w:ascii="Arial" w:eastAsia="Arial" w:hAnsi="Arial" w:cs="Arial"/>
          <w:color w:val="0000EE"/>
          <w:u w:val="single"/>
        </w:rPr>
        <w:t>§ 41-9-646</w:t>
      </w:r>
      <w:r>
        <w:rPr>
          <w:rFonts w:ascii="Arial" w:eastAsia="Arial" w:hAnsi="Arial" w:cs="Arial"/>
          <w:color w:val="0000EE"/>
          <w:u w:val="single"/>
        </w:rPr>
        <w:fldChar w:fldCharType="end"/>
      </w:r>
      <w:r>
        <w:rPr>
          <w:rFonts w:ascii="Arial" w:eastAsia="Arial" w:hAnsi="Arial" w:cs="Arial"/>
        </w:rPr>
        <w:t>.</w:t>
      </w:r>
    </w:p>
    <w:p>
      <w:pPr>
        <w:pStyle w:val="Heading6"/>
        <w:pBdr>
          <w:left w:val="none" w:sz="0" w:space="31" w:color="auto"/>
        </w:pBdr>
        <w:spacing w:before="375" w:after="375"/>
        <w:ind w:left="900"/>
        <w:outlineLvl w:val="9"/>
        <w:rPr>
          <w:b/>
          <w:bCs/>
          <w:sz w:val="16"/>
          <w:szCs w:val="16"/>
        </w:rPr>
      </w:pPr>
      <w:r>
        <w:rPr>
          <w:rFonts w:ascii="Arial" w:eastAsia="Arial" w:hAnsi="Arial" w:cs="Arial"/>
          <w:i/>
          <w:iCs/>
        </w:rPr>
        <w:t>Nonconviction records</w:t>
      </w:r>
    </w:p>
    <w:p>
      <w:pPr>
        <w:pBdr>
          <w:left w:val="none" w:sz="0" w:space="31" w:color="auto"/>
        </w:pBdr>
        <w:spacing w:before="240" w:after="240"/>
        <w:ind w:left="1350"/>
        <w:rPr>
          <w:sz w:val="24"/>
          <w:szCs w:val="24"/>
        </w:rPr>
      </w:pPr>
      <w:r>
        <w:rPr>
          <w:rFonts w:ascii="Arial" w:eastAsia="Arial" w:hAnsi="Arial" w:cs="Arial"/>
        </w:rPr>
        <w:t xml:space="preserve">Effective July 6, 2014, courts may expunge nonconviction records of non-violent felony and misdemeanor charges, including felony cases where charges were dismissed after successful completion of a drug court program, mental health court program, diversion program or veteran’s court program.  </w:t>
      </w:r>
      <w:r>
        <w:rPr>
          <w:rFonts w:ascii="Arial" w:eastAsia="Arial" w:hAnsi="Arial" w:cs="Arial"/>
          <w:i/>
          <w:iCs/>
        </w:rPr>
        <w:t>See</w:t>
      </w:r>
      <w:r>
        <w:rPr>
          <w:rFonts w:ascii="Arial" w:eastAsia="Arial" w:hAnsi="Arial" w:cs="Arial"/>
          <w:i/>
          <w:iCs/>
        </w:rPr>
        <w:fldChar w:fldCharType="begin"/>
      </w:r>
      <w:r>
        <w:rPr>
          <w:rFonts w:ascii="Arial" w:eastAsia="Arial" w:hAnsi="Arial" w:cs="Arial"/>
          <w:i/>
          <w:iCs/>
        </w:rPr>
        <w:instrText xml:space="preserve"> HYPERLINK "http://law.justia.com/codes/alabama/2015/title-15/chapter-27/" </w:instrText>
      </w:r>
      <w:r>
        <w:rPr>
          <w:rFonts w:ascii="Arial" w:eastAsia="Arial" w:hAnsi="Arial" w:cs="Arial"/>
          <w:i/>
          <w:iCs/>
        </w:rPr>
        <w:fldChar w:fldCharType="separate"/>
      </w:r>
      <w:r>
        <w:rPr>
          <w:rFonts w:ascii="Arial" w:eastAsia="Arial" w:hAnsi="Arial" w:cs="Arial"/>
          <w:color w:val="0000EE"/>
          <w:u w:val="single"/>
        </w:rPr>
        <w:t>Ala. Code § 15-27-1</w:t>
      </w:r>
      <w:r>
        <w:rPr>
          <w:rFonts w:ascii="Arial" w:eastAsia="Arial" w:hAnsi="Arial" w:cs="Arial"/>
          <w:color w:val="0000EE"/>
          <w:u w:val="single"/>
        </w:rPr>
        <w:fldChar w:fldCharType="end"/>
      </w:r>
      <w:r>
        <w:rPr>
          <w:rFonts w:ascii="Arial" w:eastAsia="Arial" w:hAnsi="Arial" w:cs="Arial"/>
        </w:rPr>
        <w:t xml:space="preserve"> (misdemeanors); </w:t>
      </w:r>
      <w:r>
        <w:rPr>
          <w:rFonts w:ascii="Arial" w:eastAsia="Arial" w:hAnsi="Arial" w:cs="Arial"/>
        </w:rPr>
        <w:fldChar w:fldCharType="begin"/>
      </w:r>
      <w:r>
        <w:rPr>
          <w:rFonts w:ascii="Arial" w:eastAsia="Arial" w:hAnsi="Arial" w:cs="Arial"/>
        </w:rPr>
        <w:instrText xml:space="preserve"> HYPERLINK "http://law.justia.com/codes/alabama/2015/title-15/chapter-27/" </w:instrText>
      </w:r>
      <w:r>
        <w:rPr>
          <w:rFonts w:ascii="Arial" w:eastAsia="Arial" w:hAnsi="Arial" w:cs="Arial"/>
        </w:rPr>
        <w:fldChar w:fldCharType="separate"/>
      </w:r>
      <w:r>
        <w:rPr>
          <w:rFonts w:ascii="Arial" w:eastAsia="Arial" w:hAnsi="Arial" w:cs="Arial"/>
          <w:color w:val="0000EE"/>
          <w:u w:val="single"/>
        </w:rPr>
        <w:t>§ 15-27-2</w:t>
      </w:r>
      <w:r>
        <w:rPr>
          <w:rFonts w:ascii="Arial" w:eastAsia="Arial" w:hAnsi="Arial" w:cs="Arial"/>
          <w:color w:val="0000EE"/>
          <w:u w:val="single"/>
        </w:rPr>
        <w:fldChar w:fldCharType="end"/>
      </w:r>
      <w:r>
        <w:rPr>
          <w:rFonts w:ascii="Arial" w:eastAsia="Arial" w:hAnsi="Arial" w:cs="Arial"/>
        </w:rPr>
        <w:t xml:space="preserve"> (non-violent felonies). Expungement may be sought 90 days after acquittal or charges dismissed with prejudice, and five years after dismissal without prejudice “if the person has not been convicted of any other felony or misdemeanor crime, any violation, or any traffic violation, excluding minor traffic violations, during the previous five years.”  </w:t>
      </w:r>
      <w:r>
        <w:rPr>
          <w:rFonts w:ascii="Arial" w:eastAsia="Arial" w:hAnsi="Arial" w:cs="Arial"/>
        </w:rPr>
        <w:fldChar w:fldCharType="begin"/>
      </w:r>
      <w:r>
        <w:rPr>
          <w:rFonts w:ascii="Arial" w:eastAsia="Arial" w:hAnsi="Arial" w:cs="Arial"/>
        </w:rPr>
        <w:instrText xml:space="preserve"> HYPERLINK "http://law.justia.com/codes/alabama/2015/title-15/chapter-27/" </w:instrText>
      </w:r>
      <w:r>
        <w:rPr>
          <w:rFonts w:ascii="Arial" w:eastAsia="Arial" w:hAnsi="Arial" w:cs="Arial"/>
        </w:rPr>
        <w:fldChar w:fldCharType="separate"/>
      </w:r>
      <w:r>
        <w:rPr>
          <w:rFonts w:ascii="Arial" w:eastAsia="Arial" w:hAnsi="Arial" w:cs="Arial"/>
          <w:color w:val="0000EE"/>
          <w:u w:val="single"/>
        </w:rPr>
        <w:t>15-27-2</w:t>
      </w:r>
      <w:r>
        <w:rPr>
          <w:rFonts w:ascii="Arial" w:eastAsia="Arial" w:hAnsi="Arial" w:cs="Arial"/>
          <w:color w:val="0000EE"/>
          <w:u w:val="single"/>
        </w:rPr>
        <w:fldChar w:fldCharType="end"/>
      </w:r>
      <w:r>
        <w:rPr>
          <w:rFonts w:ascii="Arial" w:eastAsia="Arial" w:hAnsi="Arial" w:cs="Arial"/>
        </w:rPr>
        <w:t xml:space="preserve">(a)(5). There is an administrative fee of $300, and if the prosecutor or victim object a hearing shall be held at which the court will consider certain factors relating to the crime.  </w:t>
      </w:r>
      <w:r>
        <w:rPr>
          <w:rFonts w:ascii="Arial" w:eastAsia="Arial" w:hAnsi="Arial" w:cs="Arial"/>
        </w:rPr>
        <w:fldChar w:fldCharType="begin"/>
      </w:r>
      <w:r>
        <w:rPr>
          <w:rFonts w:ascii="Arial" w:eastAsia="Arial" w:hAnsi="Arial" w:cs="Arial"/>
        </w:rPr>
        <w:instrText xml:space="preserve"> HYPERLINK "http://law.justia.com/codes/alabama/2015/title-15/chapter-27/" </w:instrText>
      </w:r>
      <w:r>
        <w:rPr>
          <w:rFonts w:ascii="Arial" w:eastAsia="Arial" w:hAnsi="Arial" w:cs="Arial"/>
        </w:rPr>
        <w:fldChar w:fldCharType="separate"/>
      </w:r>
      <w:r>
        <w:rPr>
          <w:rFonts w:ascii="Arial" w:eastAsia="Arial" w:hAnsi="Arial" w:cs="Arial"/>
          <w:color w:val="0000EE"/>
          <w:u w:val="single"/>
        </w:rPr>
        <w:t>§ 15-27-5</w:t>
      </w:r>
      <w:r>
        <w:rPr>
          <w:rFonts w:ascii="Arial" w:eastAsia="Arial" w:hAnsi="Arial" w:cs="Arial"/>
          <w:color w:val="0000EE"/>
          <w:u w:val="single"/>
        </w:rPr>
        <w:fldChar w:fldCharType="end"/>
      </w:r>
      <w:r>
        <w:rPr>
          <w:rFonts w:ascii="Arial" w:eastAsia="Arial" w:hAnsi="Arial" w:cs="Arial"/>
        </w:rPr>
        <w:t>.  Where there is no objection, “the court shall grant the petition if it is reasonably satisfied from the evidence that the petitioner has complied with and satisfied the requirements of this chapter.”  Id.   In addition, “[t]he court shall have discretion over the number of cases that may be expunged pursuant to this chapter after the first case is expunged.” </w:t>
      </w:r>
      <w:r>
        <w:rPr>
          <w:rFonts w:ascii="Arial" w:eastAsia="Arial" w:hAnsi="Arial" w:cs="Arial"/>
          <w:i/>
          <w:iCs/>
        </w:rPr>
        <w:t> Id.</w:t>
      </w:r>
    </w:p>
    <w:p>
      <w:pPr>
        <w:pBdr>
          <w:left w:val="none" w:sz="0" w:space="31" w:color="auto"/>
        </w:pBdr>
        <w:spacing w:before="240" w:after="240"/>
        <w:ind w:left="1350"/>
        <w:rPr>
          <w:sz w:val="24"/>
          <w:szCs w:val="24"/>
        </w:rPr>
      </w:pPr>
      <w:r>
        <w:rPr>
          <w:rFonts w:ascii="Arial" w:eastAsia="Arial" w:hAnsi="Arial" w:cs="Arial"/>
          <w:u w:val="single"/>
        </w:rPr>
        <w:t>Effect of expungement</w:t>
      </w:r>
      <w:r>
        <w:rPr>
          <w:rFonts w:ascii="Arial" w:eastAsia="Arial" w:hAnsi="Arial" w:cs="Arial"/>
        </w:rPr>
        <w:t>:</w:t>
      </w:r>
    </w:p>
    <w:p>
      <w:pPr>
        <w:pBdr>
          <w:left w:val="none" w:sz="0" w:space="31" w:color="auto"/>
        </w:pBdr>
        <w:spacing w:before="240" w:after="240"/>
        <w:ind w:left="1800"/>
        <w:rPr>
          <w:sz w:val="24"/>
          <w:szCs w:val="24"/>
        </w:rPr>
      </w:pPr>
      <w:r>
        <w:rPr>
          <w:rFonts w:ascii="Arial" w:eastAsia="Arial" w:hAnsi="Arial" w:cs="Arial"/>
          <w:i/>
          <w:iCs/>
        </w:rPr>
        <w:t>“After the expungement of records pursuant to subsection (a), the proceedings regarding the char</w:t>
      </w:r>
      <w:r>
        <w:rPr>
          <w:rFonts w:ascii="Arial" w:eastAsia="Arial" w:hAnsi="Arial" w:cs="Arial"/>
          <w:i/>
          <w:iCs/>
        </w:rPr>
        <w:t>ge shall be deemed never to have occurred. Except as provided in this chapter, the court and other agencies shall reply to an</w:t>
      </w:r>
      <w:r>
        <w:rPr>
          <w:rFonts w:ascii="Arial" w:eastAsia="Arial" w:hAnsi="Arial" w:cs="Arial"/>
          <w:i/>
          <w:iCs/>
        </w:rPr>
        <w:t xml:space="preserve">y inquiry that no record exists on the matter. The petitioner whose record was expunged shall not have to disclose the fact of the record or </w:t>
      </w:r>
      <w:r>
        <w:rPr>
          <w:rFonts w:ascii="Arial" w:eastAsia="Arial" w:hAnsi="Arial" w:cs="Arial"/>
          <w:i/>
          <w:iCs/>
        </w:rPr>
        <w:t>any matter relating thereto on an application for employment, credit, or other type of application. However, the petitioner whose record was expunged shall have the duty to disclose the fact of the record and any matter relating thereto to any government regulatory or licensing agency, any utility and its agents and affiliates, or any bank or other financial institution. In these circumstances, the government regulatory or licensing agency, utility and its agents and affiliates, or the bank or other financial institution shall have the right to inspect the expunged records after filing notice with the court.”</w:t>
      </w:r>
    </w:p>
    <w:p>
      <w:pPr>
        <w:pBdr>
          <w:left w:val="none" w:sz="0" w:space="31" w:color="auto"/>
        </w:pBdr>
        <w:spacing w:before="240" w:after="240"/>
        <w:ind w:left="1350"/>
        <w:rPr>
          <w:sz w:val="24"/>
          <w:szCs w:val="24"/>
        </w:rPr>
      </w:pPr>
      <w:r>
        <w:fldChar w:fldCharType="begin"/>
      </w:r>
      <w:r>
        <w:instrText xml:space="preserve"> HYPERLINK "http://law.justia.com/codes/alabama/2015/title-15/chapter-27/" </w:instrText>
      </w:r>
      <w:r>
        <w:fldChar w:fldCharType="separate"/>
      </w:r>
      <w:r>
        <w:rPr>
          <w:rFonts w:ascii="Arial" w:eastAsia="Arial" w:hAnsi="Arial" w:cs="Arial"/>
          <w:color w:val="0000EE"/>
          <w:u w:val="single"/>
        </w:rPr>
        <w:t>§ 15-27-6</w:t>
      </w:r>
      <w:r>
        <w:rPr>
          <w:rFonts w:ascii="Arial" w:eastAsia="Arial" w:hAnsi="Arial" w:cs="Arial"/>
          <w:color w:val="0000EE"/>
          <w:u w:val="single"/>
        </w:rPr>
        <w:fldChar w:fldCharType="end"/>
      </w:r>
      <w:r>
        <w:rPr>
          <w:rFonts w:ascii="Arial" w:eastAsia="Arial" w:hAnsi="Arial" w:cs="Arial"/>
        </w:rPr>
        <w:t>(b). Expungement does not restore firearms rights,</w:t>
      </w:r>
      <w:r>
        <w:rPr>
          <w:rFonts w:ascii="Arial" w:eastAsia="Arial" w:hAnsi="Arial" w:cs="Arial"/>
        </w:rPr>
        <w:fldChar w:fldCharType="begin"/>
      </w:r>
      <w:r>
        <w:rPr>
          <w:rFonts w:ascii="Arial" w:eastAsia="Arial" w:hAnsi="Arial" w:cs="Arial"/>
        </w:rPr>
        <w:instrText xml:space="preserve"> HYPERLINK "http://law.justia.com/codes/alabama/2015/title-15/chapter-27/" </w:instrText>
      </w:r>
      <w:r>
        <w:rPr>
          <w:rFonts w:ascii="Arial" w:eastAsia="Arial" w:hAnsi="Arial" w:cs="Arial"/>
        </w:rPr>
        <w:fldChar w:fldCharType="separate"/>
      </w:r>
      <w:r>
        <w:rPr>
          <w:rFonts w:ascii="Arial" w:eastAsia="Arial" w:hAnsi="Arial" w:cs="Arial"/>
          <w:color w:val="0000EE"/>
          <w:u w:val="single"/>
        </w:rPr>
        <w:t>§ 15-27-15</w:t>
      </w:r>
      <w:r>
        <w:rPr>
          <w:rFonts w:ascii="Arial" w:eastAsia="Arial" w:hAnsi="Arial" w:cs="Arial"/>
          <w:color w:val="0000EE"/>
          <w:u w:val="single"/>
        </w:rPr>
        <w:fldChar w:fldCharType="end"/>
      </w:r>
      <w:r>
        <w:rPr>
          <w:rFonts w:ascii="Arial" w:eastAsia="Arial" w:hAnsi="Arial" w:cs="Arial"/>
        </w:rPr>
        <w:t xml:space="preserve">, or relieve sex offender registration, which is only available from a court. </w:t>
      </w:r>
      <w:r>
        <w:rPr>
          <w:rFonts w:ascii="Arial" w:eastAsia="Arial" w:hAnsi="Arial" w:cs="Arial"/>
          <w:i/>
          <w:iCs/>
        </w:rPr>
        <w:t>See</w:t>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HYPERLINK "http://law.justia.com/codes/alabama/2015/title-15/chapter-27/" </w:instrText>
      </w:r>
      <w:r>
        <w:rPr>
          <w:rFonts w:ascii="Arial" w:eastAsia="Arial" w:hAnsi="Arial" w:cs="Arial"/>
        </w:rPr>
        <w:fldChar w:fldCharType="separate"/>
      </w:r>
      <w:r>
        <w:rPr>
          <w:rFonts w:ascii="Arial" w:eastAsia="Arial" w:hAnsi="Arial" w:cs="Arial"/>
          <w:color w:val="0000EE"/>
          <w:u w:val="single"/>
        </w:rPr>
        <w:t>§ 15-20A-24</w:t>
      </w:r>
      <w:r>
        <w:rPr>
          <w:rFonts w:ascii="Arial" w:eastAsia="Arial" w:hAnsi="Arial" w:cs="Arial"/>
          <w:color w:val="0000EE"/>
          <w:u w:val="single"/>
        </w:rPr>
        <w:fldChar w:fldCharType="end"/>
      </w:r>
      <w:r>
        <w:rPr>
          <w:rFonts w:ascii="Arial" w:eastAsia="Arial" w:hAnsi="Arial" w:cs="Arial"/>
        </w:rPr>
        <w:t>.</w:t>
      </w:r>
    </w:p>
    <w:p>
      <w:pPr>
        <w:pBdr>
          <w:left w:val="none" w:sz="0" w:space="31" w:color="auto"/>
        </w:pBdr>
        <w:spacing w:before="240" w:after="240"/>
        <w:ind w:left="1350"/>
        <w:rPr>
          <w:sz w:val="24"/>
          <w:szCs w:val="24"/>
        </w:rPr>
      </w:pPr>
      <w:r>
        <w:rPr>
          <w:rFonts w:ascii="Arial" w:eastAsia="Arial" w:hAnsi="Arial" w:cs="Arial"/>
          <w:i/>
          <w:iCs/>
          <w:u w:val="single"/>
        </w:rPr>
        <w:t>See also</w:t>
      </w:r>
      <w:r>
        <w:rPr>
          <w:rFonts w:ascii="Arial" w:eastAsia="Arial" w:hAnsi="Arial" w:cs="Arial"/>
        </w:rPr>
        <w:t> </w:t>
      </w:r>
      <w:r>
        <w:rPr>
          <w:rFonts w:ascii="Arial" w:eastAsia="Arial" w:hAnsi="Arial" w:cs="Arial"/>
        </w:rPr>
        <w:fldChar w:fldCharType="begin"/>
      </w:r>
      <w:r>
        <w:rPr>
          <w:rFonts w:ascii="Arial" w:eastAsia="Arial" w:hAnsi="Arial" w:cs="Arial"/>
        </w:rPr>
        <w:instrText xml:space="preserve"> HYPERLINK "http://law.justia.com/codes/alabama/2015/title-15/chapter-27/" </w:instrText>
      </w:r>
      <w:r>
        <w:rPr>
          <w:rFonts w:ascii="Arial" w:eastAsia="Arial" w:hAnsi="Arial" w:cs="Arial"/>
        </w:rPr>
        <w:fldChar w:fldCharType="separate"/>
      </w:r>
      <w:r>
        <w:rPr>
          <w:rFonts w:ascii="Arial" w:eastAsia="Arial" w:hAnsi="Arial" w:cs="Arial"/>
          <w:color w:val="0000EE"/>
          <w:u w:val="single"/>
        </w:rPr>
        <w:t>Ala. Code § 41-9-625</w:t>
      </w:r>
      <w:r>
        <w:rPr>
          <w:rFonts w:ascii="Arial" w:eastAsia="Arial" w:hAnsi="Arial" w:cs="Arial"/>
          <w:color w:val="0000EE"/>
          <w:u w:val="single"/>
        </w:rPr>
        <w:fldChar w:fldCharType="end"/>
      </w:r>
      <w:r>
        <w:rPr>
          <w:rFonts w:ascii="Arial" w:eastAsia="Arial" w:hAnsi="Arial" w:cs="Arial"/>
        </w:rPr>
        <w:t xml:space="preserve"> (state repository required to delete arrest records from rap sheets within 30 days of release from custody if the person is not charged or is cleared of the charges).</w:t>
      </w:r>
    </w:p>
    <w:p>
      <w:pPr>
        <w:spacing w:before="240" w:after="240"/>
        <w:rPr>
          <w:sz w:val="24"/>
          <w:szCs w:val="24"/>
        </w:rPr>
      </w:pPr>
      <w:r>
        <w:t> </w:t>
      </w:r>
    </w:p>
    <w:p>
      <w:pPr>
        <w:pStyle w:val="Heading6"/>
        <w:pBdr>
          <w:left w:val="none" w:sz="0" w:space="22" w:color="auto"/>
        </w:pBdr>
        <w:spacing w:before="375" w:after="375"/>
        <w:ind w:left="450"/>
        <w:outlineLvl w:val="9"/>
        <w:rPr>
          <w:b/>
          <w:bCs/>
          <w:sz w:val="16"/>
          <w:szCs w:val="16"/>
        </w:rPr>
      </w:pPr>
      <w:r>
        <w:rPr>
          <w:rFonts w:ascii="Arial" w:eastAsia="Arial" w:hAnsi="Arial" w:cs="Arial"/>
          <w:i/>
          <w:iCs/>
        </w:rPr>
        <w:t>Juvenile delinquency adjudications</w:t>
      </w:r>
    </w:p>
    <w:p>
      <w:pPr>
        <w:pBdr>
          <w:left w:val="none" w:sz="0" w:space="31" w:color="auto"/>
        </w:pBdr>
        <w:spacing w:before="240" w:after="240"/>
        <w:ind w:left="900"/>
        <w:rPr>
          <w:sz w:val="24"/>
          <w:szCs w:val="24"/>
        </w:rPr>
      </w:pPr>
      <w:r>
        <w:rPr>
          <w:rFonts w:ascii="Arial" w:eastAsia="Arial" w:hAnsi="Arial" w:cs="Arial"/>
        </w:rPr>
        <w:t>May be sealed two years after final discharge or court order not pertaining to custody or supervision, if the individual has not been convicted of a felony or misdemeanor involving sexual offenses, drugs, weapons, or violence, or threats of violence, and has no pending criminal proceedings.</w:t>
      </w:r>
      <w:r>
        <w:rPr>
          <w:rFonts w:ascii="Arial" w:eastAsia="Arial" w:hAnsi="Arial" w:cs="Arial"/>
        </w:rPr>
        <w:fldChar w:fldCharType="begin"/>
      </w:r>
      <w:r>
        <w:rPr>
          <w:rFonts w:ascii="Arial" w:eastAsia="Arial" w:hAnsi="Arial" w:cs="Arial"/>
        </w:rPr>
        <w:instrText xml:space="preserve"> HYPERLINK "http://law.justia.com/codes/alabama/2015/title-12/chapter-15/article-1/" </w:instrText>
      </w:r>
      <w:r>
        <w:rPr>
          <w:rFonts w:ascii="Arial" w:eastAsia="Arial" w:hAnsi="Arial" w:cs="Arial"/>
        </w:rPr>
        <w:fldChar w:fldCharType="separate"/>
      </w:r>
      <w:r>
        <w:rPr>
          <w:rFonts w:ascii="Arial" w:eastAsia="Arial" w:hAnsi="Arial" w:cs="Arial"/>
          <w:color w:val="0000EE"/>
          <w:u w:val="single"/>
        </w:rPr>
        <w:t>Ala. Code § 12-15-136</w:t>
      </w:r>
      <w:r>
        <w:rPr>
          <w:rFonts w:ascii="Arial" w:eastAsia="Arial" w:hAnsi="Arial" w:cs="Arial"/>
          <w:color w:val="0000EE"/>
          <w:u w:val="single"/>
        </w:rPr>
        <w:fldChar w:fldCharType="end"/>
      </w:r>
      <w:r>
        <w:rPr>
          <w:rFonts w:ascii="Arial" w:eastAsia="Arial" w:hAnsi="Arial" w:cs="Arial"/>
        </w:rPr>
        <w:t xml:space="preserve">(a).  Any adjudication of delinquency or conviction of a felony or misdemeanor involving sexual offenses, drugs, weapons, or violence, or threats of violence, subsequent to sealing shall have the effect of nullifying the sealing order.   </w:t>
      </w:r>
      <w:r>
        <w:rPr>
          <w:rFonts w:ascii="Arial" w:eastAsia="Arial" w:hAnsi="Arial" w:cs="Arial"/>
        </w:rPr>
        <w:fldChar w:fldCharType="begin"/>
      </w:r>
      <w:r>
        <w:rPr>
          <w:rFonts w:ascii="Arial" w:eastAsia="Arial" w:hAnsi="Arial" w:cs="Arial"/>
        </w:rPr>
        <w:instrText xml:space="preserve"> HYPERLINK "http://law.justia.com/codes/alabama/2015/title-12/chapter-15/article-1/" </w:instrText>
      </w:r>
      <w:r>
        <w:rPr>
          <w:rFonts w:ascii="Arial" w:eastAsia="Arial" w:hAnsi="Arial" w:cs="Arial"/>
        </w:rPr>
        <w:fldChar w:fldCharType="separate"/>
      </w:r>
      <w:r>
        <w:rPr>
          <w:rFonts w:ascii="Arial" w:eastAsia="Arial" w:hAnsi="Arial" w:cs="Arial"/>
          <w:color w:val="0000EE"/>
          <w:u w:val="single"/>
        </w:rPr>
        <w:t>§ 12-15-136</w:t>
      </w:r>
      <w:r>
        <w:rPr>
          <w:rFonts w:ascii="Arial" w:eastAsia="Arial" w:hAnsi="Arial" w:cs="Arial"/>
          <w:color w:val="0000EE"/>
          <w:u w:val="single"/>
        </w:rPr>
        <w:fldChar w:fldCharType="end"/>
      </w:r>
      <w:r>
        <w:rPr>
          <w:rFonts w:ascii="Arial" w:eastAsia="Arial" w:hAnsi="Arial" w:cs="Arial"/>
        </w:rPr>
        <w:t xml:space="preserve">(e).  Five years after the juvenile reaches the age of majority, s/he can petition the court to have the records destroyed. </w:t>
      </w:r>
      <w:r>
        <w:rPr>
          <w:rFonts w:ascii="Arial" w:eastAsia="Arial" w:hAnsi="Arial" w:cs="Arial"/>
        </w:rPr>
        <w:fldChar w:fldCharType="begin"/>
      </w:r>
      <w:r>
        <w:rPr>
          <w:rFonts w:ascii="Arial" w:eastAsia="Arial" w:hAnsi="Arial" w:cs="Arial"/>
        </w:rPr>
        <w:instrText xml:space="preserve"> HYPERLINK "http://law.justia.com/codes/alabama/2015/title-12/chapter-15/article-1/" </w:instrText>
      </w:r>
      <w:r>
        <w:rPr>
          <w:rFonts w:ascii="Arial" w:eastAsia="Arial" w:hAnsi="Arial" w:cs="Arial"/>
        </w:rPr>
        <w:fldChar w:fldCharType="separate"/>
      </w:r>
      <w:r>
        <w:rPr>
          <w:rFonts w:ascii="Arial" w:eastAsia="Arial" w:hAnsi="Arial" w:cs="Arial"/>
          <w:color w:val="0000EE"/>
          <w:u w:val="single"/>
        </w:rPr>
        <w:t>§ 12-15-137</w:t>
      </w:r>
      <w:r>
        <w:rPr>
          <w:rFonts w:ascii="Arial" w:eastAsia="Arial" w:hAnsi="Arial" w:cs="Arial"/>
          <w:color w:val="0000EE"/>
          <w:u w:val="single"/>
        </w:rPr>
        <w:fldChar w:fldCharType="end"/>
      </w:r>
      <w:r>
        <w:rPr>
          <w:rFonts w:ascii="Arial" w:eastAsia="Arial" w:hAnsi="Arial" w:cs="Arial"/>
        </w:rPr>
        <w:t>(a).</w:t>
      </w:r>
    </w:p>
    <w:p>
      <w:pPr>
        <w:pStyle w:val="Heading6"/>
        <w:pBdr>
          <w:left w:val="none" w:sz="0" w:space="22" w:color="auto"/>
        </w:pBdr>
        <w:spacing w:before="375" w:after="375"/>
        <w:ind w:left="450"/>
        <w:outlineLvl w:val="9"/>
        <w:rPr>
          <w:b/>
          <w:bCs/>
          <w:sz w:val="16"/>
          <w:szCs w:val="16"/>
        </w:rPr>
      </w:pPr>
      <w:r>
        <w:rPr>
          <w:rFonts w:ascii="Arial" w:eastAsia="Arial" w:hAnsi="Arial" w:cs="Arial"/>
          <w:i/>
          <w:iCs/>
        </w:rPr>
        <w:t>Administrative certificate </w:t>
      </w:r>
    </w:p>
    <w:p>
      <w:pPr>
        <w:pBdr>
          <w:left w:val="none" w:sz="0" w:space="31" w:color="auto"/>
        </w:pBdr>
        <w:spacing w:before="240" w:after="240"/>
        <w:ind w:left="900"/>
        <w:rPr>
          <w:sz w:val="24"/>
          <w:szCs w:val="24"/>
        </w:rPr>
      </w:pPr>
      <w:r>
        <w:rPr>
          <w:rFonts w:ascii="Arial" w:eastAsia="Arial" w:hAnsi="Arial" w:cs="Arial"/>
        </w:rPr>
        <w:t xml:space="preserve">See Part I for “certificate of eligibility to register to vote” that must be issued any person convicted of a non-violent offense who has completed his sentence and paid all fines, restitution and court costs, and has no charges pending against him.  </w:t>
      </w:r>
      <w:r>
        <w:rPr>
          <w:rFonts w:ascii="Arial" w:eastAsia="Arial" w:hAnsi="Arial" w:cs="Arial"/>
        </w:rPr>
        <w:fldChar w:fldCharType="begin"/>
      </w:r>
      <w:r>
        <w:rPr>
          <w:rFonts w:ascii="Arial" w:eastAsia="Arial" w:hAnsi="Arial" w:cs="Arial"/>
        </w:rPr>
        <w:instrText xml:space="preserve"> HYPERLINK "http://law.justia.com/codes/alabama/2015/title-15/chapter-22/article-2/" </w:instrText>
      </w:r>
      <w:r>
        <w:rPr>
          <w:rFonts w:ascii="Arial" w:eastAsia="Arial" w:hAnsi="Arial" w:cs="Arial"/>
        </w:rPr>
        <w:fldChar w:fldCharType="separate"/>
      </w:r>
      <w:r>
        <w:rPr>
          <w:rFonts w:ascii="Arial" w:eastAsia="Arial" w:hAnsi="Arial" w:cs="Arial"/>
          <w:color w:val="0000EE"/>
          <w:u w:val="single"/>
        </w:rPr>
        <w:t>Ala. Code § 15-22-36.1</w:t>
      </w:r>
      <w:r>
        <w:rPr>
          <w:rFonts w:ascii="Arial" w:eastAsia="Arial" w:hAnsi="Arial" w:cs="Arial"/>
          <w:color w:val="0000EE"/>
          <w:u w:val="single"/>
        </w:rPr>
        <w:fldChar w:fldCharType="end"/>
      </w:r>
      <w:r>
        <w:rPr>
          <w:rFonts w:ascii="Arial" w:eastAsia="Arial" w:hAnsi="Arial" w:cs="Arial"/>
        </w:rPr>
        <w:t>.</w:t>
      </w:r>
    </w:p>
    <w:p>
      <w:pPr>
        <w:spacing w:before="240" w:after="240"/>
        <w:rPr>
          <w:sz w:val="24"/>
          <w:szCs w:val="24"/>
        </w:rPr>
      </w:pPr>
      <w:r>
        <w:t> </w:t>
      </w:r>
    </w:p>
    <w:p>
      <w:pPr>
        <w:spacing w:before="240" w:after="240"/>
        <w:rPr>
          <w:sz w:val="24"/>
          <w:szCs w:val="24"/>
        </w:rPr>
      </w:pPr>
      <w:r>
        <w:t> </w:t>
      </w:r>
    </w:p>
    <w:p>
      <w:pPr>
        <w:pStyle w:val="Heading4"/>
        <w:keepNext w:val="0"/>
        <w:spacing w:before="319" w:after="319"/>
        <w:outlineLvl w:val="9"/>
        <w:rPr>
          <w:b/>
          <w:bCs/>
          <w:sz w:val="24"/>
          <w:szCs w:val="24"/>
        </w:rPr>
      </w:pPr>
      <w:r>
        <w:rPr>
          <w:rFonts w:ascii="Arial" w:eastAsia="Arial" w:hAnsi="Arial" w:cs="Arial"/>
          <w:i w:val="0"/>
        </w:rPr>
        <w:t>III.   Nondiscrimination in occupational licensing and employment</w:t>
      </w:r>
    </w:p>
    <w:p>
      <w:pPr>
        <w:pBdr>
          <w:left w:val="none" w:sz="0" w:space="22" w:color="auto"/>
        </w:pBdr>
        <w:spacing w:before="240" w:after="240"/>
        <w:ind w:left="450"/>
        <w:rPr>
          <w:sz w:val="24"/>
          <w:szCs w:val="24"/>
        </w:rPr>
      </w:pPr>
      <w:r>
        <w:rPr>
          <w:rFonts w:ascii="Arial" w:eastAsia="Arial" w:hAnsi="Arial" w:cs="Arial"/>
        </w:rPr>
        <w:t xml:space="preserve">Alabama has no general law regulating consideration of conviction.  It does apply a direct relationship test in connection with some licenses.  </w:t>
      </w:r>
      <w:r>
        <w:rPr>
          <w:rFonts w:ascii="Arial" w:eastAsia="Arial" w:hAnsi="Arial" w:cs="Arial"/>
          <w:i/>
          <w:iCs/>
        </w:rPr>
        <w:t>See, e.g.</w:t>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HYPERLINK "http://law.justia.com/codes/alabama/2015/title-34/chapter-1a/" </w:instrText>
      </w:r>
      <w:r>
        <w:rPr>
          <w:rFonts w:ascii="Arial" w:eastAsia="Arial" w:hAnsi="Arial" w:cs="Arial"/>
        </w:rPr>
        <w:fldChar w:fldCharType="separate"/>
      </w:r>
      <w:r>
        <w:rPr>
          <w:rFonts w:ascii="Arial" w:eastAsia="Arial" w:hAnsi="Arial" w:cs="Arial"/>
          <w:color w:val="0000EE"/>
          <w:u w:val="single"/>
        </w:rPr>
        <w:t>Ala. Code § 34-1A-5</w:t>
      </w:r>
      <w:r>
        <w:rPr>
          <w:rFonts w:ascii="Arial" w:eastAsia="Arial" w:hAnsi="Arial" w:cs="Arial"/>
          <w:color w:val="0000EE"/>
          <w:u w:val="single"/>
        </w:rPr>
        <w:fldChar w:fldCharType="end"/>
      </w:r>
      <w:r>
        <w:rPr>
          <w:rFonts w:ascii="Arial" w:eastAsia="Arial" w:hAnsi="Arial" w:cs="Arial"/>
        </w:rPr>
        <w:t xml:space="preserve"> (d)(2)a. (“An applicant [for an alarm system installer license] shall not be refused a license solely because of a prior criminal conviction, unless the criminal conviction directly relates to the occupation or profession for which the license is sought.”);  </w:t>
      </w:r>
      <w:r>
        <w:rPr>
          <w:rFonts w:ascii="Arial" w:eastAsia="Arial" w:hAnsi="Arial" w:cs="Arial"/>
        </w:rPr>
        <w:fldChar w:fldCharType="begin"/>
      </w:r>
      <w:r>
        <w:rPr>
          <w:rFonts w:ascii="Arial" w:eastAsia="Arial" w:hAnsi="Arial" w:cs="Arial"/>
        </w:rPr>
        <w:instrText xml:space="preserve"> HYPERLINK "http://law.justia.com/codes/alabama/2015/title-27/chapter-17a/article-2/" </w:instrText>
      </w:r>
      <w:r>
        <w:rPr>
          <w:rFonts w:ascii="Arial" w:eastAsia="Arial" w:hAnsi="Arial" w:cs="Arial"/>
        </w:rPr>
        <w:fldChar w:fldCharType="separate"/>
      </w:r>
      <w:r>
        <w:rPr>
          <w:rFonts w:ascii="Arial" w:eastAsia="Arial" w:hAnsi="Arial" w:cs="Arial"/>
          <w:color w:val="0000EE"/>
          <w:u w:val="single"/>
        </w:rPr>
        <w:t>Ala. Code § 27-17A-18</w:t>
      </w:r>
      <w:r>
        <w:rPr>
          <w:rFonts w:ascii="Arial" w:eastAsia="Arial" w:hAnsi="Arial" w:cs="Arial"/>
          <w:color w:val="0000EE"/>
          <w:u w:val="single"/>
        </w:rPr>
        <w:fldChar w:fldCharType="end"/>
      </w:r>
      <w:r>
        <w:rPr>
          <w:rFonts w:ascii="Arial" w:eastAsia="Arial" w:hAnsi="Arial" w:cs="Arial"/>
        </w:rPr>
        <w:t>(f)(3) (“The applicant [for a pre-need sales agent for funeral services] must not have any felony or misdemeanor convictions that relate to any activity regulated by this chapter”).</w:t>
      </w:r>
    </w:p>
    <w:p>
      <w:pPr>
        <w:spacing w:before="240" w:after="240"/>
        <w:rPr>
          <w:sz w:val="24"/>
          <w:szCs w:val="24"/>
        </w:rPr>
      </w:pPr>
      <w:r>
        <w:t> </w:t>
      </w:r>
    </w:p>
    <w:p>
      <w:pPr>
        <w:spacing w:before="240" w:after="240"/>
        <w:rPr>
          <w:sz w:val="24"/>
          <w:szCs w:val="24"/>
        </w:rPr>
      </w:pPr>
      <w:r>
        <w:t> </w:t>
      </w:r>
    </w:p>
    <w:p>
      <w:pPr>
        <w:spacing w:before="240" w:after="240"/>
        <w:rPr>
          <w:sz w:val="24"/>
          <w:szCs w:val="24"/>
        </w:rPr>
      </w:pPr>
      <w:r>
        <w:t> </w:t>
      </w:r>
    </w:p>
    <w:p>
      <w:pPr>
        <w:spacing w:before="120" w:after="120"/>
        <w:ind w:left="15" w:right="15"/>
        <w:rPr>
          <w:color w:val="808080"/>
          <w:sz w:val="24"/>
          <w:szCs w:val="24"/>
        </w:rPr>
      </w:pPr>
      <w:r>
        <w:pict>
          <v:rect id="_x0000_i1026" style="height:1.5pt;width:468pt" o:hrpct="1000" o:hralign="center" o:hrstd="t" o:hr="t" filled="t" fillcolor="gray" stroked="f">
            <v:path strokeok="f"/>
          </v:rect>
        </w:pict>
      </w:r>
    </w:p>
    <w:p>
      <w:pPr>
        <w:rPr>
          <w:sz w:val="24"/>
          <w:szCs w:val="24"/>
        </w:rPr>
      </w:pPr>
      <w:r>
        <w:pict>
          <v:rect id="_x0000_i1027" style="height:1.5pt;width:468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octitle">
    <w:name w:val="toc_title"/>
    <w:basedOn w:val="Normal"/>
  </w:style>
  <w:style w:type="character" w:customStyle="1" w:styleId="easy-footnote-margin-adjust">
    <w:name w:val="easy-footnote-margin-adjust"/>
    <w:basedOn w:val="DefaultParagraphFont"/>
  </w:style>
  <w:style w:type="character" w:customStyle="1" w:styleId="easy-footnote">
    <w:name w:val="easy-footnote"/>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